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82139" w14:textId="4484E689" w:rsidR="001258DA" w:rsidRPr="002D532C" w:rsidRDefault="001258DA" w:rsidP="002D532C">
      <w:pPr>
        <w:spacing w:after="0" w:line="240" w:lineRule="auto"/>
        <w:jc w:val="both"/>
        <w:rPr>
          <w:rFonts w:ascii="Arial" w:hAnsi="Arial" w:cs="Arial"/>
        </w:rPr>
      </w:pPr>
      <w:r w:rsidRPr="002D532C">
        <w:rPr>
          <w:rFonts w:ascii="Arial" w:hAnsi="Arial" w:cs="Arial"/>
        </w:rPr>
        <w:t xml:space="preserve">Bogotá D.C.  </w:t>
      </w:r>
      <w:r w:rsidR="001A04EE" w:rsidRPr="002D532C">
        <w:rPr>
          <w:rFonts w:ascii="Arial" w:hAnsi="Arial" w:cs="Arial"/>
        </w:rPr>
        <w:t>3</w:t>
      </w:r>
      <w:r w:rsidR="00EB6389" w:rsidRPr="002D532C">
        <w:rPr>
          <w:rFonts w:ascii="Arial" w:hAnsi="Arial" w:cs="Arial"/>
        </w:rPr>
        <w:t>0</w:t>
      </w:r>
      <w:r w:rsidRPr="002D532C">
        <w:rPr>
          <w:rFonts w:ascii="Arial" w:hAnsi="Arial" w:cs="Arial"/>
        </w:rPr>
        <w:t xml:space="preserve"> de </w:t>
      </w:r>
      <w:r w:rsidR="00EB6389" w:rsidRPr="002D532C">
        <w:rPr>
          <w:rFonts w:ascii="Arial" w:hAnsi="Arial" w:cs="Arial"/>
        </w:rPr>
        <w:t>abril</w:t>
      </w:r>
      <w:r w:rsidRPr="002D532C">
        <w:rPr>
          <w:rFonts w:ascii="Arial" w:hAnsi="Arial" w:cs="Arial"/>
        </w:rPr>
        <w:t xml:space="preserve"> 202</w:t>
      </w:r>
      <w:r w:rsidR="001A04EE" w:rsidRPr="002D532C">
        <w:rPr>
          <w:rFonts w:ascii="Arial" w:hAnsi="Arial" w:cs="Arial"/>
        </w:rPr>
        <w:t>5</w:t>
      </w:r>
    </w:p>
    <w:p w14:paraId="0DF67CAD" w14:textId="77777777" w:rsidR="00D43412" w:rsidRPr="002D532C" w:rsidRDefault="00D43412" w:rsidP="002D532C">
      <w:pPr>
        <w:spacing w:after="0" w:line="240" w:lineRule="auto"/>
        <w:jc w:val="both"/>
        <w:rPr>
          <w:rFonts w:ascii="Arial" w:hAnsi="Arial" w:cs="Arial"/>
        </w:rPr>
      </w:pPr>
    </w:p>
    <w:p w14:paraId="0C9C0777" w14:textId="3F27DB1B" w:rsidR="001258DA" w:rsidRPr="002D532C" w:rsidRDefault="00D22909" w:rsidP="002D532C">
      <w:pPr>
        <w:spacing w:after="0" w:line="240" w:lineRule="auto"/>
        <w:jc w:val="both"/>
        <w:rPr>
          <w:rFonts w:ascii="Arial" w:hAnsi="Arial" w:cs="Arial"/>
        </w:rPr>
      </w:pPr>
      <w:r w:rsidRPr="002D532C">
        <w:rPr>
          <w:rFonts w:ascii="Arial" w:hAnsi="Arial" w:cs="Arial"/>
        </w:rPr>
        <w:t>Doctor</w:t>
      </w:r>
      <w:r w:rsidR="00920EFB" w:rsidRPr="002D532C">
        <w:rPr>
          <w:rFonts w:ascii="Arial" w:hAnsi="Arial" w:cs="Arial"/>
        </w:rPr>
        <w:t>:</w:t>
      </w:r>
    </w:p>
    <w:p w14:paraId="5CA6555A" w14:textId="053F505D" w:rsidR="001A04EE" w:rsidRPr="002D532C" w:rsidRDefault="00A9217F" w:rsidP="002D532C">
      <w:pPr>
        <w:pBdr>
          <w:top w:val="nil"/>
          <w:left w:val="nil"/>
          <w:bottom w:val="nil"/>
          <w:right w:val="nil"/>
          <w:between w:val="nil"/>
        </w:pBdr>
        <w:tabs>
          <w:tab w:val="center" w:pos="4419"/>
          <w:tab w:val="right" w:pos="8838"/>
        </w:tabs>
        <w:spacing w:after="0" w:line="240" w:lineRule="auto"/>
        <w:jc w:val="both"/>
        <w:rPr>
          <w:rFonts w:ascii="Arial" w:eastAsia="Arial" w:hAnsi="Arial" w:cs="Arial"/>
          <w:b/>
          <w:color w:val="000000"/>
          <w:lang w:eastAsia="es-CO"/>
        </w:rPr>
      </w:pPr>
      <w:r w:rsidRPr="002D532C">
        <w:rPr>
          <w:rFonts w:ascii="Arial" w:eastAsia="Arial" w:hAnsi="Arial" w:cs="Arial"/>
          <w:b/>
          <w:color w:val="000000"/>
          <w:lang w:eastAsia="es-CO"/>
        </w:rPr>
        <w:t>Dario Fernando Cepeda Peña</w:t>
      </w:r>
    </w:p>
    <w:p w14:paraId="728BF1C3" w14:textId="77777777" w:rsidR="001A04EE" w:rsidRPr="002D532C" w:rsidRDefault="001A04EE" w:rsidP="002D532C">
      <w:pPr>
        <w:pBdr>
          <w:top w:val="nil"/>
          <w:left w:val="nil"/>
          <w:bottom w:val="nil"/>
          <w:right w:val="nil"/>
          <w:between w:val="nil"/>
        </w:pBdr>
        <w:tabs>
          <w:tab w:val="center" w:pos="4419"/>
          <w:tab w:val="right" w:pos="8838"/>
        </w:tabs>
        <w:spacing w:after="0" w:line="240" w:lineRule="auto"/>
        <w:jc w:val="both"/>
        <w:rPr>
          <w:rFonts w:ascii="Arial" w:eastAsia="Arial" w:hAnsi="Arial" w:cs="Arial"/>
          <w:bCs/>
          <w:color w:val="000000"/>
          <w:lang w:eastAsia="es-CO"/>
        </w:rPr>
      </w:pPr>
      <w:r w:rsidRPr="002D532C">
        <w:rPr>
          <w:rFonts w:ascii="Arial" w:eastAsia="Arial" w:hAnsi="Arial" w:cs="Arial"/>
          <w:bCs/>
          <w:color w:val="000000"/>
          <w:lang w:eastAsia="es-CO"/>
        </w:rPr>
        <w:t>Concejal Citante</w:t>
      </w:r>
    </w:p>
    <w:p w14:paraId="406B7AA8" w14:textId="0A521E6F" w:rsidR="00A9217F" w:rsidRPr="002D532C" w:rsidRDefault="00A9217F" w:rsidP="002D532C">
      <w:pPr>
        <w:pBdr>
          <w:top w:val="nil"/>
          <w:left w:val="nil"/>
          <w:bottom w:val="nil"/>
          <w:right w:val="nil"/>
          <w:between w:val="nil"/>
        </w:pBdr>
        <w:tabs>
          <w:tab w:val="center" w:pos="4419"/>
          <w:tab w:val="right" w:pos="8838"/>
        </w:tabs>
        <w:spacing w:after="0" w:line="240" w:lineRule="auto"/>
        <w:jc w:val="both"/>
        <w:rPr>
          <w:rFonts w:ascii="Arial" w:eastAsia="Arial" w:hAnsi="Arial" w:cs="Arial"/>
          <w:b/>
          <w:color w:val="000000"/>
          <w:lang w:eastAsia="es-CO"/>
        </w:rPr>
      </w:pPr>
      <w:r w:rsidRPr="002D532C">
        <w:rPr>
          <w:rFonts w:ascii="Arial" w:eastAsia="Arial" w:hAnsi="Arial" w:cs="Arial"/>
          <w:b/>
          <w:color w:val="000000"/>
          <w:lang w:eastAsia="es-CO"/>
        </w:rPr>
        <w:t>Armando Gutiérrez González</w:t>
      </w:r>
    </w:p>
    <w:p w14:paraId="59F3FE99" w14:textId="1E5BBCEC" w:rsidR="001A04EE" w:rsidRPr="002D532C" w:rsidRDefault="001A04EE" w:rsidP="002D532C">
      <w:pPr>
        <w:pBdr>
          <w:top w:val="nil"/>
          <w:left w:val="nil"/>
          <w:bottom w:val="nil"/>
          <w:right w:val="nil"/>
          <w:between w:val="nil"/>
        </w:pBdr>
        <w:tabs>
          <w:tab w:val="center" w:pos="4419"/>
          <w:tab w:val="right" w:pos="8838"/>
        </w:tabs>
        <w:spacing w:after="0" w:line="240" w:lineRule="auto"/>
        <w:jc w:val="both"/>
        <w:rPr>
          <w:rFonts w:ascii="Arial" w:eastAsia="Arial" w:hAnsi="Arial" w:cs="Arial"/>
          <w:bCs/>
          <w:color w:val="000000"/>
          <w:lang w:eastAsia="es-CO"/>
        </w:rPr>
      </w:pPr>
      <w:r w:rsidRPr="002D532C">
        <w:rPr>
          <w:rFonts w:ascii="Arial" w:eastAsia="Arial" w:hAnsi="Arial" w:cs="Arial"/>
          <w:bCs/>
          <w:color w:val="000000"/>
          <w:lang w:eastAsia="es-CO"/>
        </w:rPr>
        <w:t>Vocero de Bancada</w:t>
      </w:r>
    </w:p>
    <w:p w14:paraId="6DC677E5" w14:textId="60F5AB43" w:rsidR="00C36C49" w:rsidRPr="002D532C" w:rsidRDefault="001A04EE" w:rsidP="002D532C">
      <w:pPr>
        <w:pBdr>
          <w:top w:val="nil"/>
          <w:left w:val="nil"/>
          <w:bottom w:val="nil"/>
          <w:right w:val="nil"/>
          <w:between w:val="nil"/>
        </w:pBdr>
        <w:tabs>
          <w:tab w:val="center" w:pos="4419"/>
          <w:tab w:val="right" w:pos="8838"/>
        </w:tabs>
        <w:spacing w:after="0" w:line="240" w:lineRule="auto"/>
        <w:jc w:val="both"/>
        <w:rPr>
          <w:rFonts w:ascii="Arial" w:hAnsi="Arial" w:cs="Arial"/>
        </w:rPr>
      </w:pPr>
      <w:r w:rsidRPr="002D532C">
        <w:rPr>
          <w:rFonts w:ascii="Arial" w:eastAsia="Arial" w:hAnsi="Arial" w:cs="Arial"/>
          <w:bCs/>
          <w:color w:val="000000"/>
          <w:lang w:eastAsia="es-CO"/>
        </w:rPr>
        <w:t xml:space="preserve">Partido Liberal Colombiano </w:t>
      </w:r>
    </w:p>
    <w:p w14:paraId="2BC00E29" w14:textId="0BC2A1BD" w:rsidR="00840344" w:rsidRPr="002D532C" w:rsidRDefault="001258DA" w:rsidP="002D532C">
      <w:pPr>
        <w:spacing w:after="0" w:line="240" w:lineRule="auto"/>
        <w:jc w:val="both"/>
        <w:rPr>
          <w:rFonts w:ascii="Arial" w:hAnsi="Arial" w:cs="Arial"/>
        </w:rPr>
      </w:pPr>
      <w:r w:rsidRPr="002D532C">
        <w:rPr>
          <w:rFonts w:ascii="Arial" w:hAnsi="Arial" w:cs="Arial"/>
        </w:rPr>
        <w:t>Ciudad</w:t>
      </w:r>
    </w:p>
    <w:p w14:paraId="44C3749A" w14:textId="77777777" w:rsidR="00D43412" w:rsidRPr="002D532C" w:rsidRDefault="00D43412" w:rsidP="002D532C">
      <w:pPr>
        <w:spacing w:after="0" w:line="240" w:lineRule="auto"/>
        <w:jc w:val="both"/>
        <w:rPr>
          <w:rFonts w:ascii="Arial" w:hAnsi="Arial" w:cs="Arial"/>
        </w:rPr>
      </w:pPr>
    </w:p>
    <w:p w14:paraId="373FFE2D" w14:textId="47D75D88" w:rsidR="001A04EE" w:rsidRPr="002D532C" w:rsidRDefault="009D0D18" w:rsidP="002D532C">
      <w:pPr>
        <w:spacing w:after="0" w:line="240" w:lineRule="auto"/>
        <w:jc w:val="both"/>
        <w:rPr>
          <w:rFonts w:ascii="Arial" w:hAnsi="Arial" w:cs="Arial"/>
          <w:b/>
          <w:bCs/>
        </w:rPr>
      </w:pPr>
      <w:r w:rsidRPr="002D532C">
        <w:rPr>
          <w:rFonts w:ascii="Arial" w:hAnsi="Arial" w:cs="Arial"/>
          <w:b/>
          <w:bCs/>
        </w:rPr>
        <w:t>ASUNTO:</w:t>
      </w:r>
      <w:r w:rsidR="001A04EE" w:rsidRPr="002D532C">
        <w:rPr>
          <w:rFonts w:ascii="Arial" w:hAnsi="Arial" w:cs="Arial"/>
          <w:b/>
          <w:bCs/>
        </w:rPr>
        <w:t xml:space="preserve"> Respuesta Proposición No. </w:t>
      </w:r>
      <w:r w:rsidR="00EB6389" w:rsidRPr="002D532C">
        <w:rPr>
          <w:rFonts w:ascii="Arial" w:hAnsi="Arial" w:cs="Arial"/>
          <w:b/>
          <w:bCs/>
        </w:rPr>
        <w:t>54</w:t>
      </w:r>
      <w:r w:rsidR="001A04EE" w:rsidRPr="002D532C">
        <w:rPr>
          <w:rFonts w:ascii="Arial" w:hAnsi="Arial" w:cs="Arial"/>
          <w:b/>
          <w:bCs/>
        </w:rPr>
        <w:t>3 de 2025 con Radicado No. 2025IE</w:t>
      </w:r>
      <w:r w:rsidR="00D47C78" w:rsidRPr="002D532C">
        <w:rPr>
          <w:rFonts w:ascii="Arial" w:hAnsi="Arial" w:cs="Arial"/>
          <w:b/>
          <w:bCs/>
        </w:rPr>
        <w:t>6851</w:t>
      </w:r>
    </w:p>
    <w:p w14:paraId="5C26441B" w14:textId="77777777" w:rsidR="00D22909" w:rsidRPr="002D532C" w:rsidRDefault="00D22909" w:rsidP="002D532C">
      <w:pPr>
        <w:spacing w:after="0" w:line="240" w:lineRule="auto"/>
        <w:jc w:val="both"/>
        <w:rPr>
          <w:rFonts w:ascii="Arial" w:hAnsi="Arial" w:cs="Arial"/>
        </w:rPr>
      </w:pPr>
    </w:p>
    <w:p w14:paraId="5019763B" w14:textId="217AB0F2" w:rsidR="009D0D18" w:rsidRPr="002D532C" w:rsidRDefault="00E16092" w:rsidP="002D532C">
      <w:pPr>
        <w:spacing w:after="0" w:line="240" w:lineRule="auto"/>
        <w:jc w:val="both"/>
        <w:rPr>
          <w:rFonts w:ascii="Arial" w:hAnsi="Arial" w:cs="Arial"/>
        </w:rPr>
      </w:pPr>
      <w:r w:rsidRPr="002D532C">
        <w:rPr>
          <w:rFonts w:ascii="Arial" w:hAnsi="Arial" w:cs="Arial"/>
        </w:rPr>
        <w:t>Honorable</w:t>
      </w:r>
      <w:r w:rsidR="005B7EAE" w:rsidRPr="002D532C">
        <w:rPr>
          <w:rFonts w:ascii="Arial" w:hAnsi="Arial" w:cs="Arial"/>
        </w:rPr>
        <w:t>s</w:t>
      </w:r>
      <w:r w:rsidRPr="002D532C">
        <w:rPr>
          <w:rFonts w:ascii="Arial" w:hAnsi="Arial" w:cs="Arial"/>
        </w:rPr>
        <w:t xml:space="preserve"> Concejal</w:t>
      </w:r>
      <w:r w:rsidR="005B7EAE" w:rsidRPr="002D532C">
        <w:rPr>
          <w:rFonts w:ascii="Arial" w:hAnsi="Arial" w:cs="Arial"/>
        </w:rPr>
        <w:t>es</w:t>
      </w:r>
      <w:r w:rsidR="00D76584" w:rsidRPr="002D532C">
        <w:rPr>
          <w:rFonts w:ascii="Arial" w:hAnsi="Arial" w:cs="Arial"/>
        </w:rPr>
        <w:t>,</w:t>
      </w:r>
    </w:p>
    <w:p w14:paraId="4D056023" w14:textId="77777777" w:rsidR="004423AA" w:rsidRPr="002D532C" w:rsidRDefault="004423AA" w:rsidP="002D532C">
      <w:pPr>
        <w:spacing w:after="0" w:line="240" w:lineRule="auto"/>
        <w:jc w:val="both"/>
        <w:rPr>
          <w:rFonts w:ascii="Arial" w:hAnsi="Arial" w:cs="Arial"/>
        </w:rPr>
      </w:pPr>
    </w:p>
    <w:p w14:paraId="78598346" w14:textId="77777777" w:rsidR="00D22909" w:rsidRPr="002D532C" w:rsidRDefault="00D22909" w:rsidP="002D532C">
      <w:pPr>
        <w:spacing w:after="0" w:line="240" w:lineRule="auto"/>
        <w:jc w:val="both"/>
        <w:rPr>
          <w:rFonts w:ascii="Arial" w:eastAsia="Calibri" w:hAnsi="Arial" w:cs="Arial"/>
        </w:rPr>
      </w:pPr>
      <w:r w:rsidRPr="002D532C">
        <w:rPr>
          <w:rFonts w:ascii="Arial" w:eastAsia="Calibri" w:hAnsi="Arial" w:cs="Arial"/>
        </w:rPr>
        <w:t>Reciba un cordial saludo, en respuesta a la solicitud mencionada en el asunto, la Subred Integrada de Servicios de Salud Norte E.S.E se permite relacionar las respuestas a los puntos solicitados:</w:t>
      </w:r>
    </w:p>
    <w:p w14:paraId="1B79040E" w14:textId="77777777" w:rsidR="005B7EAE" w:rsidRPr="002D532C" w:rsidRDefault="005B7EAE" w:rsidP="002D532C">
      <w:pPr>
        <w:spacing w:after="0" w:line="240" w:lineRule="auto"/>
        <w:jc w:val="both"/>
        <w:rPr>
          <w:rFonts w:ascii="Arial" w:eastAsia="Calibri" w:hAnsi="Arial" w:cs="Arial"/>
        </w:rPr>
      </w:pPr>
    </w:p>
    <w:p w14:paraId="72A37D87" w14:textId="77777777" w:rsidR="005B7EAE" w:rsidRPr="002D532C" w:rsidRDefault="005B7EAE" w:rsidP="002D532C">
      <w:pPr>
        <w:shd w:val="clear" w:color="auto" w:fill="FFFFFF"/>
        <w:spacing w:after="0" w:line="240" w:lineRule="auto"/>
        <w:jc w:val="both"/>
        <w:textAlignment w:val="baseline"/>
        <w:rPr>
          <w:rFonts w:ascii="Arial" w:eastAsia="Times New Roman" w:hAnsi="Arial" w:cs="Arial"/>
          <w:b/>
          <w:bCs/>
          <w:color w:val="000000"/>
          <w:lang w:eastAsia="es-CO"/>
        </w:rPr>
      </w:pPr>
      <w:r w:rsidRPr="002D532C">
        <w:rPr>
          <w:rFonts w:ascii="Arial" w:eastAsia="Times New Roman" w:hAnsi="Arial" w:cs="Arial"/>
          <w:b/>
          <w:bCs/>
          <w:color w:val="000000"/>
          <w:lang w:eastAsia="es-CO"/>
        </w:rPr>
        <w:t>Cuestionario:</w:t>
      </w:r>
    </w:p>
    <w:p w14:paraId="418304C9" w14:textId="77777777" w:rsidR="006322A3" w:rsidRPr="002D532C" w:rsidRDefault="006322A3" w:rsidP="002D532C">
      <w:pPr>
        <w:shd w:val="clear" w:color="auto" w:fill="FFFFFF"/>
        <w:spacing w:after="0" w:line="240" w:lineRule="auto"/>
        <w:jc w:val="both"/>
        <w:textAlignment w:val="baseline"/>
        <w:rPr>
          <w:rFonts w:ascii="Arial" w:eastAsia="Times New Roman" w:hAnsi="Arial" w:cs="Arial"/>
          <w:color w:val="000000"/>
          <w:lang w:eastAsia="es-CO"/>
        </w:rPr>
      </w:pPr>
    </w:p>
    <w:p w14:paraId="31FC9533" w14:textId="77777777" w:rsidR="00CB75A6" w:rsidRPr="002D532C" w:rsidRDefault="005B7EAE" w:rsidP="002D532C">
      <w:pPr>
        <w:numPr>
          <w:ilvl w:val="0"/>
          <w:numId w:val="7"/>
        </w:numPr>
        <w:shd w:val="clear" w:color="auto" w:fill="FFFFFF"/>
        <w:spacing w:after="0" w:line="257" w:lineRule="atLeast"/>
        <w:ind w:left="426"/>
        <w:jc w:val="both"/>
        <w:rPr>
          <w:rFonts w:ascii="Arial" w:eastAsia="Times New Roman" w:hAnsi="Arial" w:cs="Arial"/>
          <w:color w:val="000000"/>
          <w:lang w:eastAsia="es-CO"/>
        </w:rPr>
      </w:pPr>
      <w:r w:rsidRPr="002D532C">
        <w:rPr>
          <w:rFonts w:ascii="Arial" w:eastAsia="Times New Roman" w:hAnsi="Arial" w:cs="Arial"/>
          <w:color w:val="000000"/>
          <w:lang w:eastAsia="es-CO"/>
        </w:rPr>
        <w:t>Indique los porcentajes de la población de Bogotá que padecen de VIH y SIDA.</w:t>
      </w:r>
    </w:p>
    <w:p w14:paraId="0513A78C" w14:textId="763A347D" w:rsidR="005B7EAE" w:rsidRPr="002D532C" w:rsidRDefault="005B7EAE" w:rsidP="002D532C">
      <w:pPr>
        <w:shd w:val="clear" w:color="auto" w:fill="FFFFFF"/>
        <w:spacing w:after="0" w:line="257" w:lineRule="atLeast"/>
        <w:ind w:left="426"/>
        <w:jc w:val="both"/>
        <w:rPr>
          <w:rFonts w:ascii="Arial" w:eastAsia="Times New Roman" w:hAnsi="Arial" w:cs="Arial"/>
          <w:color w:val="000000"/>
          <w:lang w:eastAsia="es-CO"/>
        </w:rPr>
      </w:pPr>
      <w:r w:rsidRPr="002D532C">
        <w:rPr>
          <w:rFonts w:ascii="Arial" w:eastAsia="Times New Roman" w:hAnsi="Arial" w:cs="Arial"/>
          <w:color w:val="000000"/>
          <w:lang w:eastAsia="es-CO"/>
        </w:rPr>
        <w:t> </w:t>
      </w:r>
    </w:p>
    <w:p w14:paraId="36105FA4" w14:textId="276D4EFA" w:rsidR="006359EB" w:rsidRPr="002D532C" w:rsidRDefault="006359EB" w:rsidP="002D532C">
      <w:pPr>
        <w:shd w:val="clear" w:color="auto" w:fill="FFFFFF"/>
        <w:spacing w:after="0" w:line="257" w:lineRule="atLeast"/>
        <w:ind w:left="66"/>
        <w:jc w:val="both"/>
        <w:rPr>
          <w:rFonts w:ascii="Arial" w:eastAsia="Times New Roman" w:hAnsi="Arial" w:cs="Arial"/>
          <w:b/>
          <w:bCs/>
          <w:color w:val="000000"/>
          <w:lang w:eastAsia="es-CO"/>
        </w:rPr>
      </w:pPr>
      <w:r w:rsidRPr="002D532C">
        <w:rPr>
          <w:rFonts w:ascii="Arial" w:eastAsia="Times New Roman" w:hAnsi="Arial" w:cs="Arial"/>
          <w:b/>
          <w:bCs/>
          <w:color w:val="000000"/>
          <w:lang w:eastAsia="es-CO"/>
        </w:rPr>
        <w:t>Respuesta</w:t>
      </w:r>
    </w:p>
    <w:p w14:paraId="653CFA7C" w14:textId="77777777" w:rsidR="006359EB" w:rsidRPr="002D532C" w:rsidRDefault="006359EB" w:rsidP="002D532C">
      <w:pPr>
        <w:shd w:val="clear" w:color="auto" w:fill="FFFFFF"/>
        <w:spacing w:after="0" w:line="257" w:lineRule="atLeast"/>
        <w:ind w:left="66"/>
        <w:jc w:val="both"/>
        <w:rPr>
          <w:rFonts w:ascii="Arial" w:eastAsia="Times New Roman" w:hAnsi="Arial" w:cs="Arial"/>
          <w:b/>
          <w:bCs/>
          <w:color w:val="000000"/>
          <w:lang w:eastAsia="es-CO"/>
        </w:rPr>
      </w:pPr>
    </w:p>
    <w:p w14:paraId="24B4659F" w14:textId="77777777" w:rsidR="006359EB" w:rsidRPr="002D532C" w:rsidRDefault="006359EB" w:rsidP="002D532C">
      <w:pPr>
        <w:keepNext/>
        <w:spacing w:after="0" w:line="240" w:lineRule="auto"/>
        <w:jc w:val="center"/>
        <w:rPr>
          <w:rFonts w:ascii="Arial" w:eastAsia="Calibri" w:hAnsi="Arial" w:cs="Arial"/>
          <w:b/>
          <w:bCs/>
          <w:kern w:val="2"/>
          <w14:ligatures w14:val="standardContextual"/>
        </w:rPr>
      </w:pPr>
      <w:r w:rsidRPr="002D532C">
        <w:rPr>
          <w:rFonts w:ascii="Arial" w:eastAsia="Calibri" w:hAnsi="Arial" w:cs="Arial"/>
          <w:b/>
          <w:bCs/>
          <w:kern w:val="2"/>
          <w14:ligatures w14:val="standardContextual"/>
        </w:rPr>
        <w:t>Tabla 1. Incidencia por 10.000 habitantes del evento 850 VIH en las seis localidades de la Subred Norte, 2020- 2024.</w:t>
      </w:r>
    </w:p>
    <w:tbl>
      <w:tblPr>
        <w:tblW w:w="0" w:type="auto"/>
        <w:jc w:val="center"/>
        <w:tblCellMar>
          <w:left w:w="70" w:type="dxa"/>
          <w:right w:w="70" w:type="dxa"/>
        </w:tblCellMar>
        <w:tblLook w:val="04A0" w:firstRow="1" w:lastRow="0" w:firstColumn="1" w:lastColumn="0" w:noHBand="0" w:noVBand="1"/>
      </w:tblPr>
      <w:tblGrid>
        <w:gridCol w:w="1452"/>
        <w:gridCol w:w="1000"/>
        <w:gridCol w:w="999"/>
        <w:gridCol w:w="999"/>
        <w:gridCol w:w="999"/>
        <w:gridCol w:w="999"/>
      </w:tblGrid>
      <w:tr w:rsidR="006359EB" w:rsidRPr="002D532C" w14:paraId="416D9502" w14:textId="77777777" w:rsidTr="00764FA6">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37AB425B" w14:textId="77777777" w:rsidR="006359EB" w:rsidRPr="002D532C" w:rsidRDefault="006359EB" w:rsidP="002D532C">
            <w:pPr>
              <w:spacing w:after="0" w:line="240" w:lineRule="auto"/>
              <w:jc w:val="both"/>
              <w:rPr>
                <w:rFonts w:ascii="Arial" w:eastAsia="Times New Roman" w:hAnsi="Arial" w:cs="Arial"/>
                <w:b/>
                <w:bCs/>
                <w:color w:val="000000"/>
                <w:sz w:val="20"/>
                <w:szCs w:val="20"/>
                <w:lang w:eastAsia="es-CO"/>
              </w:rPr>
            </w:pPr>
            <w:r w:rsidRPr="002D532C">
              <w:rPr>
                <w:rFonts w:ascii="Arial" w:eastAsia="Times New Roman" w:hAnsi="Arial" w:cs="Arial"/>
                <w:b/>
                <w:bCs/>
                <w:color w:val="000000"/>
                <w:sz w:val="20"/>
                <w:szCs w:val="20"/>
                <w:lang w:eastAsia="es-CO"/>
              </w:rPr>
              <w:t>LOCALIDAD</w:t>
            </w:r>
          </w:p>
        </w:tc>
        <w:tc>
          <w:tcPr>
            <w:tcW w:w="0" w:type="auto"/>
            <w:gridSpan w:val="5"/>
            <w:tcBorders>
              <w:top w:val="single" w:sz="4" w:space="0" w:color="auto"/>
              <w:left w:val="nil"/>
              <w:bottom w:val="single" w:sz="4" w:space="0" w:color="auto"/>
              <w:right w:val="single" w:sz="4" w:space="0" w:color="auto"/>
            </w:tcBorders>
            <w:shd w:val="clear" w:color="auto" w:fill="E7E6E6" w:themeFill="background2"/>
            <w:noWrap/>
            <w:vAlign w:val="bottom"/>
            <w:hideMark/>
          </w:tcPr>
          <w:p w14:paraId="401D5C60" w14:textId="77777777" w:rsidR="006359EB" w:rsidRPr="002D532C" w:rsidRDefault="006359EB" w:rsidP="002D532C">
            <w:pPr>
              <w:spacing w:after="0" w:line="240" w:lineRule="auto"/>
              <w:jc w:val="both"/>
              <w:rPr>
                <w:rFonts w:ascii="Arial" w:eastAsia="Times New Roman" w:hAnsi="Arial" w:cs="Arial"/>
                <w:b/>
                <w:bCs/>
                <w:color w:val="000000"/>
                <w:sz w:val="20"/>
                <w:szCs w:val="20"/>
                <w:lang w:eastAsia="es-CO"/>
              </w:rPr>
            </w:pPr>
            <w:r w:rsidRPr="002D532C">
              <w:rPr>
                <w:rFonts w:ascii="Arial" w:eastAsia="Times New Roman" w:hAnsi="Arial" w:cs="Arial"/>
                <w:b/>
                <w:bCs/>
                <w:color w:val="000000"/>
                <w:sz w:val="20"/>
                <w:szCs w:val="20"/>
                <w:lang w:eastAsia="es-CO"/>
              </w:rPr>
              <w:t>PORCENTAJE DE CASOS CON NOTIFICACION VIH</w:t>
            </w:r>
          </w:p>
        </w:tc>
      </w:tr>
      <w:tr w:rsidR="006359EB" w:rsidRPr="002D532C" w14:paraId="1C67B684" w14:textId="77777777" w:rsidTr="00764FA6">
        <w:trPr>
          <w:trHeight w:val="2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3FA482B" w14:textId="77777777" w:rsidR="006359EB" w:rsidRPr="002D532C" w:rsidRDefault="006359EB" w:rsidP="002D532C">
            <w:pPr>
              <w:spacing w:after="0" w:line="240" w:lineRule="auto"/>
              <w:jc w:val="both"/>
              <w:rPr>
                <w:rFonts w:ascii="Arial" w:eastAsia="Times New Roman" w:hAnsi="Arial" w:cs="Arial"/>
                <w:b/>
                <w:bCs/>
                <w:color w:val="000000"/>
                <w:sz w:val="20"/>
                <w:szCs w:val="20"/>
                <w:lang w:eastAsia="es-CO"/>
              </w:rPr>
            </w:pPr>
          </w:p>
        </w:tc>
        <w:tc>
          <w:tcPr>
            <w:tcW w:w="0" w:type="auto"/>
            <w:tcBorders>
              <w:top w:val="nil"/>
              <w:left w:val="nil"/>
              <w:bottom w:val="single" w:sz="4" w:space="0" w:color="auto"/>
              <w:right w:val="single" w:sz="4" w:space="0" w:color="auto"/>
            </w:tcBorders>
            <w:shd w:val="clear" w:color="auto" w:fill="E7E6E6" w:themeFill="background2"/>
            <w:noWrap/>
            <w:vAlign w:val="center"/>
            <w:hideMark/>
          </w:tcPr>
          <w:p w14:paraId="53AF5650" w14:textId="77777777" w:rsidR="006359EB" w:rsidRPr="002D532C" w:rsidRDefault="006359EB" w:rsidP="002D532C">
            <w:pPr>
              <w:spacing w:after="0" w:line="240" w:lineRule="auto"/>
              <w:jc w:val="both"/>
              <w:rPr>
                <w:rFonts w:ascii="Arial" w:eastAsia="Times New Roman" w:hAnsi="Arial" w:cs="Arial"/>
                <w:b/>
                <w:bCs/>
                <w:color w:val="000000"/>
                <w:sz w:val="20"/>
                <w:szCs w:val="20"/>
                <w:lang w:eastAsia="es-CO"/>
              </w:rPr>
            </w:pPr>
            <w:r w:rsidRPr="002D532C">
              <w:rPr>
                <w:rFonts w:ascii="Arial" w:eastAsia="Times New Roman" w:hAnsi="Arial" w:cs="Arial"/>
                <w:b/>
                <w:bCs/>
                <w:color w:val="000000"/>
                <w:sz w:val="20"/>
                <w:szCs w:val="20"/>
                <w:lang w:eastAsia="es-CO"/>
              </w:rPr>
              <w:t>2020</w:t>
            </w:r>
          </w:p>
        </w:tc>
        <w:tc>
          <w:tcPr>
            <w:tcW w:w="0" w:type="auto"/>
            <w:tcBorders>
              <w:top w:val="nil"/>
              <w:left w:val="nil"/>
              <w:bottom w:val="single" w:sz="4" w:space="0" w:color="auto"/>
              <w:right w:val="single" w:sz="4" w:space="0" w:color="auto"/>
            </w:tcBorders>
            <w:shd w:val="clear" w:color="auto" w:fill="E7E6E6" w:themeFill="background2"/>
            <w:noWrap/>
            <w:vAlign w:val="center"/>
            <w:hideMark/>
          </w:tcPr>
          <w:p w14:paraId="088F19DA" w14:textId="77777777" w:rsidR="006359EB" w:rsidRPr="002D532C" w:rsidRDefault="006359EB" w:rsidP="002D532C">
            <w:pPr>
              <w:spacing w:after="0" w:line="240" w:lineRule="auto"/>
              <w:jc w:val="both"/>
              <w:rPr>
                <w:rFonts w:ascii="Arial" w:eastAsia="Times New Roman" w:hAnsi="Arial" w:cs="Arial"/>
                <w:b/>
                <w:bCs/>
                <w:color w:val="000000"/>
                <w:sz w:val="20"/>
                <w:szCs w:val="20"/>
                <w:lang w:eastAsia="es-CO"/>
              </w:rPr>
            </w:pPr>
            <w:r w:rsidRPr="002D532C">
              <w:rPr>
                <w:rFonts w:ascii="Arial" w:eastAsia="Times New Roman" w:hAnsi="Arial" w:cs="Arial"/>
                <w:b/>
                <w:bCs/>
                <w:color w:val="000000"/>
                <w:sz w:val="20"/>
                <w:szCs w:val="20"/>
                <w:lang w:eastAsia="es-CO"/>
              </w:rPr>
              <w:t>2021</w:t>
            </w:r>
          </w:p>
        </w:tc>
        <w:tc>
          <w:tcPr>
            <w:tcW w:w="0" w:type="auto"/>
            <w:tcBorders>
              <w:top w:val="nil"/>
              <w:left w:val="nil"/>
              <w:bottom w:val="single" w:sz="4" w:space="0" w:color="auto"/>
              <w:right w:val="single" w:sz="4" w:space="0" w:color="auto"/>
            </w:tcBorders>
            <w:shd w:val="clear" w:color="auto" w:fill="E7E6E6" w:themeFill="background2"/>
            <w:noWrap/>
            <w:vAlign w:val="center"/>
            <w:hideMark/>
          </w:tcPr>
          <w:p w14:paraId="74DF6B0D" w14:textId="77777777" w:rsidR="006359EB" w:rsidRPr="002D532C" w:rsidRDefault="006359EB" w:rsidP="002D532C">
            <w:pPr>
              <w:spacing w:after="0" w:line="240" w:lineRule="auto"/>
              <w:jc w:val="both"/>
              <w:rPr>
                <w:rFonts w:ascii="Arial" w:eastAsia="Times New Roman" w:hAnsi="Arial" w:cs="Arial"/>
                <w:b/>
                <w:bCs/>
                <w:color w:val="000000"/>
                <w:sz w:val="20"/>
                <w:szCs w:val="20"/>
                <w:lang w:eastAsia="es-CO"/>
              </w:rPr>
            </w:pPr>
            <w:r w:rsidRPr="002D532C">
              <w:rPr>
                <w:rFonts w:ascii="Arial" w:eastAsia="Times New Roman" w:hAnsi="Arial" w:cs="Arial"/>
                <w:b/>
                <w:bCs/>
                <w:color w:val="000000"/>
                <w:sz w:val="20"/>
                <w:szCs w:val="20"/>
                <w:lang w:eastAsia="es-CO"/>
              </w:rPr>
              <w:t>2022</w:t>
            </w:r>
          </w:p>
        </w:tc>
        <w:tc>
          <w:tcPr>
            <w:tcW w:w="0" w:type="auto"/>
            <w:tcBorders>
              <w:top w:val="nil"/>
              <w:left w:val="nil"/>
              <w:bottom w:val="single" w:sz="4" w:space="0" w:color="auto"/>
              <w:right w:val="single" w:sz="4" w:space="0" w:color="auto"/>
            </w:tcBorders>
            <w:shd w:val="clear" w:color="auto" w:fill="E7E6E6" w:themeFill="background2"/>
            <w:noWrap/>
            <w:vAlign w:val="center"/>
            <w:hideMark/>
          </w:tcPr>
          <w:p w14:paraId="3A1ACE08" w14:textId="77777777" w:rsidR="006359EB" w:rsidRPr="002D532C" w:rsidRDefault="006359EB" w:rsidP="002D532C">
            <w:pPr>
              <w:spacing w:after="0" w:line="240" w:lineRule="auto"/>
              <w:jc w:val="both"/>
              <w:rPr>
                <w:rFonts w:ascii="Arial" w:eastAsia="Times New Roman" w:hAnsi="Arial" w:cs="Arial"/>
                <w:b/>
                <w:bCs/>
                <w:color w:val="000000"/>
                <w:sz w:val="20"/>
                <w:szCs w:val="20"/>
                <w:lang w:eastAsia="es-CO"/>
              </w:rPr>
            </w:pPr>
            <w:r w:rsidRPr="002D532C">
              <w:rPr>
                <w:rFonts w:ascii="Arial" w:eastAsia="Times New Roman" w:hAnsi="Arial" w:cs="Arial"/>
                <w:b/>
                <w:bCs/>
                <w:color w:val="000000"/>
                <w:sz w:val="20"/>
                <w:szCs w:val="20"/>
                <w:lang w:eastAsia="es-CO"/>
              </w:rPr>
              <w:t>2023</w:t>
            </w:r>
          </w:p>
        </w:tc>
        <w:tc>
          <w:tcPr>
            <w:tcW w:w="0" w:type="auto"/>
            <w:tcBorders>
              <w:top w:val="nil"/>
              <w:left w:val="nil"/>
              <w:bottom w:val="single" w:sz="4" w:space="0" w:color="auto"/>
              <w:right w:val="single" w:sz="4" w:space="0" w:color="auto"/>
            </w:tcBorders>
            <w:shd w:val="clear" w:color="auto" w:fill="E7E6E6" w:themeFill="background2"/>
            <w:noWrap/>
            <w:vAlign w:val="center"/>
            <w:hideMark/>
          </w:tcPr>
          <w:p w14:paraId="315EC992" w14:textId="77777777" w:rsidR="006359EB" w:rsidRPr="002D532C" w:rsidRDefault="006359EB" w:rsidP="002D532C">
            <w:pPr>
              <w:spacing w:after="0" w:line="240" w:lineRule="auto"/>
              <w:jc w:val="both"/>
              <w:rPr>
                <w:rFonts w:ascii="Arial" w:eastAsia="Times New Roman" w:hAnsi="Arial" w:cs="Arial"/>
                <w:b/>
                <w:bCs/>
                <w:color w:val="000000"/>
                <w:sz w:val="20"/>
                <w:szCs w:val="20"/>
                <w:lang w:eastAsia="es-CO"/>
              </w:rPr>
            </w:pPr>
            <w:r w:rsidRPr="002D532C">
              <w:rPr>
                <w:rFonts w:ascii="Arial" w:eastAsia="Times New Roman" w:hAnsi="Arial" w:cs="Arial"/>
                <w:b/>
                <w:bCs/>
                <w:color w:val="000000"/>
                <w:sz w:val="20"/>
                <w:szCs w:val="20"/>
                <w:lang w:eastAsia="es-CO"/>
              </w:rPr>
              <w:t>2024</w:t>
            </w:r>
          </w:p>
        </w:tc>
      </w:tr>
      <w:tr w:rsidR="006359EB" w:rsidRPr="002D532C" w14:paraId="08CE3AAE" w14:textId="77777777" w:rsidTr="006359EB">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1D19C93"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Barrios Unidos</w:t>
            </w:r>
          </w:p>
        </w:tc>
        <w:tc>
          <w:tcPr>
            <w:tcW w:w="0" w:type="auto"/>
            <w:tcBorders>
              <w:top w:val="nil"/>
              <w:left w:val="nil"/>
              <w:bottom w:val="single" w:sz="4" w:space="0" w:color="auto"/>
              <w:right w:val="single" w:sz="4" w:space="0" w:color="auto"/>
            </w:tcBorders>
            <w:shd w:val="clear" w:color="auto" w:fill="auto"/>
            <w:noWrap/>
            <w:vAlign w:val="center"/>
            <w:hideMark/>
          </w:tcPr>
          <w:p w14:paraId="71709D33"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7,5</w:t>
            </w:r>
          </w:p>
        </w:tc>
        <w:tc>
          <w:tcPr>
            <w:tcW w:w="0" w:type="auto"/>
            <w:tcBorders>
              <w:top w:val="nil"/>
              <w:left w:val="nil"/>
              <w:bottom w:val="single" w:sz="4" w:space="0" w:color="auto"/>
              <w:right w:val="single" w:sz="4" w:space="0" w:color="auto"/>
            </w:tcBorders>
            <w:shd w:val="clear" w:color="auto" w:fill="auto"/>
            <w:noWrap/>
            <w:vAlign w:val="center"/>
            <w:hideMark/>
          </w:tcPr>
          <w:p w14:paraId="084B99A7"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9,1</w:t>
            </w:r>
          </w:p>
        </w:tc>
        <w:tc>
          <w:tcPr>
            <w:tcW w:w="0" w:type="auto"/>
            <w:tcBorders>
              <w:top w:val="nil"/>
              <w:left w:val="nil"/>
              <w:bottom w:val="single" w:sz="4" w:space="0" w:color="auto"/>
              <w:right w:val="single" w:sz="4" w:space="0" w:color="auto"/>
            </w:tcBorders>
            <w:shd w:val="clear" w:color="auto" w:fill="auto"/>
            <w:noWrap/>
            <w:vAlign w:val="center"/>
            <w:hideMark/>
          </w:tcPr>
          <w:p w14:paraId="57525357"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8,6</w:t>
            </w:r>
          </w:p>
        </w:tc>
        <w:tc>
          <w:tcPr>
            <w:tcW w:w="0" w:type="auto"/>
            <w:tcBorders>
              <w:top w:val="nil"/>
              <w:left w:val="nil"/>
              <w:bottom w:val="single" w:sz="4" w:space="0" w:color="auto"/>
              <w:right w:val="single" w:sz="4" w:space="0" w:color="auto"/>
            </w:tcBorders>
            <w:shd w:val="clear" w:color="auto" w:fill="auto"/>
            <w:noWrap/>
            <w:vAlign w:val="center"/>
            <w:hideMark/>
          </w:tcPr>
          <w:p w14:paraId="0C5408E0"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8,3</w:t>
            </w:r>
          </w:p>
        </w:tc>
        <w:tc>
          <w:tcPr>
            <w:tcW w:w="0" w:type="auto"/>
            <w:tcBorders>
              <w:top w:val="nil"/>
              <w:left w:val="nil"/>
              <w:bottom w:val="single" w:sz="4" w:space="0" w:color="auto"/>
              <w:right w:val="single" w:sz="4" w:space="0" w:color="auto"/>
            </w:tcBorders>
            <w:shd w:val="clear" w:color="auto" w:fill="auto"/>
            <w:noWrap/>
            <w:vAlign w:val="center"/>
            <w:hideMark/>
          </w:tcPr>
          <w:p w14:paraId="0EE52BCE"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4,9</w:t>
            </w:r>
          </w:p>
        </w:tc>
      </w:tr>
      <w:tr w:rsidR="006359EB" w:rsidRPr="002D532C" w14:paraId="52B9585B" w14:textId="77777777" w:rsidTr="006359EB">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AADEB91"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Chapinero</w:t>
            </w:r>
          </w:p>
        </w:tc>
        <w:tc>
          <w:tcPr>
            <w:tcW w:w="0" w:type="auto"/>
            <w:tcBorders>
              <w:top w:val="nil"/>
              <w:left w:val="nil"/>
              <w:bottom w:val="single" w:sz="4" w:space="0" w:color="auto"/>
              <w:right w:val="single" w:sz="4" w:space="0" w:color="auto"/>
            </w:tcBorders>
            <w:shd w:val="clear" w:color="auto" w:fill="auto"/>
            <w:noWrap/>
            <w:vAlign w:val="center"/>
            <w:hideMark/>
          </w:tcPr>
          <w:p w14:paraId="2D330905"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8,2</w:t>
            </w:r>
          </w:p>
        </w:tc>
        <w:tc>
          <w:tcPr>
            <w:tcW w:w="0" w:type="auto"/>
            <w:tcBorders>
              <w:top w:val="nil"/>
              <w:left w:val="nil"/>
              <w:bottom w:val="single" w:sz="4" w:space="0" w:color="auto"/>
              <w:right w:val="single" w:sz="4" w:space="0" w:color="auto"/>
            </w:tcBorders>
            <w:shd w:val="clear" w:color="auto" w:fill="auto"/>
            <w:noWrap/>
            <w:vAlign w:val="bottom"/>
            <w:hideMark/>
          </w:tcPr>
          <w:p w14:paraId="19EDDB83"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12,8</w:t>
            </w:r>
          </w:p>
        </w:tc>
        <w:tc>
          <w:tcPr>
            <w:tcW w:w="0" w:type="auto"/>
            <w:tcBorders>
              <w:top w:val="nil"/>
              <w:left w:val="nil"/>
              <w:bottom w:val="single" w:sz="4" w:space="0" w:color="auto"/>
              <w:right w:val="single" w:sz="4" w:space="0" w:color="auto"/>
            </w:tcBorders>
            <w:shd w:val="clear" w:color="auto" w:fill="auto"/>
            <w:noWrap/>
            <w:vAlign w:val="bottom"/>
            <w:hideMark/>
          </w:tcPr>
          <w:p w14:paraId="550AEA22"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11,4</w:t>
            </w:r>
          </w:p>
        </w:tc>
        <w:tc>
          <w:tcPr>
            <w:tcW w:w="0" w:type="auto"/>
            <w:tcBorders>
              <w:top w:val="nil"/>
              <w:left w:val="nil"/>
              <w:bottom w:val="single" w:sz="4" w:space="0" w:color="auto"/>
              <w:right w:val="single" w:sz="4" w:space="0" w:color="auto"/>
            </w:tcBorders>
            <w:shd w:val="clear" w:color="auto" w:fill="auto"/>
            <w:noWrap/>
            <w:vAlign w:val="center"/>
            <w:hideMark/>
          </w:tcPr>
          <w:p w14:paraId="1EC50760"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9,8</w:t>
            </w:r>
          </w:p>
        </w:tc>
        <w:tc>
          <w:tcPr>
            <w:tcW w:w="0" w:type="auto"/>
            <w:tcBorders>
              <w:top w:val="nil"/>
              <w:left w:val="nil"/>
              <w:bottom w:val="single" w:sz="4" w:space="0" w:color="auto"/>
              <w:right w:val="single" w:sz="4" w:space="0" w:color="auto"/>
            </w:tcBorders>
            <w:shd w:val="clear" w:color="auto" w:fill="auto"/>
            <w:noWrap/>
            <w:vAlign w:val="center"/>
            <w:hideMark/>
          </w:tcPr>
          <w:p w14:paraId="07B8AC5E"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7,7</w:t>
            </w:r>
          </w:p>
        </w:tc>
      </w:tr>
      <w:tr w:rsidR="006359EB" w:rsidRPr="002D532C" w14:paraId="0CEE224F" w14:textId="77777777" w:rsidTr="006359EB">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B7F7C78"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Engativá</w:t>
            </w:r>
          </w:p>
        </w:tc>
        <w:tc>
          <w:tcPr>
            <w:tcW w:w="0" w:type="auto"/>
            <w:tcBorders>
              <w:top w:val="nil"/>
              <w:left w:val="nil"/>
              <w:bottom w:val="single" w:sz="4" w:space="0" w:color="auto"/>
              <w:right w:val="single" w:sz="4" w:space="0" w:color="auto"/>
            </w:tcBorders>
            <w:shd w:val="clear" w:color="auto" w:fill="auto"/>
            <w:noWrap/>
            <w:vAlign w:val="center"/>
            <w:hideMark/>
          </w:tcPr>
          <w:p w14:paraId="54D6C02A"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4,6</w:t>
            </w:r>
          </w:p>
        </w:tc>
        <w:tc>
          <w:tcPr>
            <w:tcW w:w="0" w:type="auto"/>
            <w:tcBorders>
              <w:top w:val="nil"/>
              <w:left w:val="nil"/>
              <w:bottom w:val="single" w:sz="4" w:space="0" w:color="auto"/>
              <w:right w:val="single" w:sz="4" w:space="0" w:color="auto"/>
            </w:tcBorders>
            <w:shd w:val="clear" w:color="auto" w:fill="auto"/>
            <w:noWrap/>
            <w:vAlign w:val="bottom"/>
            <w:hideMark/>
          </w:tcPr>
          <w:p w14:paraId="4D96EA6B"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5</w:t>
            </w:r>
          </w:p>
        </w:tc>
        <w:tc>
          <w:tcPr>
            <w:tcW w:w="0" w:type="auto"/>
            <w:tcBorders>
              <w:top w:val="nil"/>
              <w:left w:val="nil"/>
              <w:bottom w:val="single" w:sz="4" w:space="0" w:color="auto"/>
              <w:right w:val="single" w:sz="4" w:space="0" w:color="auto"/>
            </w:tcBorders>
            <w:shd w:val="clear" w:color="auto" w:fill="auto"/>
            <w:noWrap/>
            <w:vAlign w:val="bottom"/>
            <w:hideMark/>
          </w:tcPr>
          <w:p w14:paraId="31ABD893"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5,5</w:t>
            </w:r>
          </w:p>
        </w:tc>
        <w:tc>
          <w:tcPr>
            <w:tcW w:w="0" w:type="auto"/>
            <w:tcBorders>
              <w:top w:val="nil"/>
              <w:left w:val="nil"/>
              <w:bottom w:val="single" w:sz="4" w:space="0" w:color="auto"/>
              <w:right w:val="single" w:sz="4" w:space="0" w:color="auto"/>
            </w:tcBorders>
            <w:shd w:val="clear" w:color="auto" w:fill="auto"/>
            <w:noWrap/>
            <w:vAlign w:val="center"/>
            <w:hideMark/>
          </w:tcPr>
          <w:p w14:paraId="28A040BE"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4,9</w:t>
            </w:r>
          </w:p>
        </w:tc>
        <w:tc>
          <w:tcPr>
            <w:tcW w:w="0" w:type="auto"/>
            <w:tcBorders>
              <w:top w:val="nil"/>
              <w:left w:val="nil"/>
              <w:bottom w:val="single" w:sz="4" w:space="0" w:color="auto"/>
              <w:right w:val="single" w:sz="4" w:space="0" w:color="auto"/>
            </w:tcBorders>
            <w:shd w:val="clear" w:color="auto" w:fill="auto"/>
            <w:noWrap/>
            <w:vAlign w:val="center"/>
            <w:hideMark/>
          </w:tcPr>
          <w:p w14:paraId="26E07B7D"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4,3</w:t>
            </w:r>
          </w:p>
        </w:tc>
      </w:tr>
      <w:tr w:rsidR="006359EB" w:rsidRPr="002D532C" w14:paraId="01209870" w14:textId="77777777" w:rsidTr="006359EB">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6A6F782"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Suba</w:t>
            </w:r>
          </w:p>
        </w:tc>
        <w:tc>
          <w:tcPr>
            <w:tcW w:w="0" w:type="auto"/>
            <w:tcBorders>
              <w:top w:val="nil"/>
              <w:left w:val="nil"/>
              <w:bottom w:val="single" w:sz="4" w:space="0" w:color="auto"/>
              <w:right w:val="single" w:sz="4" w:space="0" w:color="auto"/>
            </w:tcBorders>
            <w:shd w:val="clear" w:color="auto" w:fill="auto"/>
            <w:noWrap/>
            <w:vAlign w:val="center"/>
            <w:hideMark/>
          </w:tcPr>
          <w:p w14:paraId="6E7202A7"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4,6</w:t>
            </w:r>
          </w:p>
        </w:tc>
        <w:tc>
          <w:tcPr>
            <w:tcW w:w="0" w:type="auto"/>
            <w:tcBorders>
              <w:top w:val="nil"/>
              <w:left w:val="nil"/>
              <w:bottom w:val="single" w:sz="4" w:space="0" w:color="auto"/>
              <w:right w:val="single" w:sz="4" w:space="0" w:color="auto"/>
            </w:tcBorders>
            <w:shd w:val="clear" w:color="auto" w:fill="auto"/>
            <w:noWrap/>
            <w:vAlign w:val="bottom"/>
            <w:hideMark/>
          </w:tcPr>
          <w:p w14:paraId="26DCA500"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5</w:t>
            </w:r>
          </w:p>
        </w:tc>
        <w:tc>
          <w:tcPr>
            <w:tcW w:w="0" w:type="auto"/>
            <w:tcBorders>
              <w:top w:val="nil"/>
              <w:left w:val="nil"/>
              <w:bottom w:val="single" w:sz="4" w:space="0" w:color="auto"/>
              <w:right w:val="single" w:sz="4" w:space="0" w:color="auto"/>
            </w:tcBorders>
            <w:shd w:val="clear" w:color="auto" w:fill="auto"/>
            <w:noWrap/>
            <w:vAlign w:val="bottom"/>
            <w:hideMark/>
          </w:tcPr>
          <w:p w14:paraId="79B2ACDD"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4,4</w:t>
            </w:r>
          </w:p>
        </w:tc>
        <w:tc>
          <w:tcPr>
            <w:tcW w:w="0" w:type="auto"/>
            <w:tcBorders>
              <w:top w:val="nil"/>
              <w:left w:val="nil"/>
              <w:bottom w:val="single" w:sz="4" w:space="0" w:color="auto"/>
              <w:right w:val="single" w:sz="4" w:space="0" w:color="auto"/>
            </w:tcBorders>
            <w:shd w:val="clear" w:color="auto" w:fill="auto"/>
            <w:noWrap/>
            <w:vAlign w:val="center"/>
            <w:hideMark/>
          </w:tcPr>
          <w:p w14:paraId="569E9F82"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4,1</w:t>
            </w:r>
          </w:p>
        </w:tc>
        <w:tc>
          <w:tcPr>
            <w:tcW w:w="0" w:type="auto"/>
            <w:tcBorders>
              <w:top w:val="nil"/>
              <w:left w:val="nil"/>
              <w:bottom w:val="single" w:sz="4" w:space="0" w:color="auto"/>
              <w:right w:val="single" w:sz="4" w:space="0" w:color="auto"/>
            </w:tcBorders>
            <w:shd w:val="clear" w:color="auto" w:fill="auto"/>
            <w:noWrap/>
            <w:vAlign w:val="center"/>
            <w:hideMark/>
          </w:tcPr>
          <w:p w14:paraId="1E5A1692"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4,1</w:t>
            </w:r>
          </w:p>
        </w:tc>
      </w:tr>
      <w:tr w:rsidR="006359EB" w:rsidRPr="002D532C" w14:paraId="04CA029F" w14:textId="77777777" w:rsidTr="006359EB">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A84B968"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Teusaquillo</w:t>
            </w:r>
          </w:p>
        </w:tc>
        <w:tc>
          <w:tcPr>
            <w:tcW w:w="0" w:type="auto"/>
            <w:tcBorders>
              <w:top w:val="nil"/>
              <w:left w:val="nil"/>
              <w:bottom w:val="single" w:sz="4" w:space="0" w:color="auto"/>
              <w:right w:val="single" w:sz="4" w:space="0" w:color="auto"/>
            </w:tcBorders>
            <w:shd w:val="clear" w:color="auto" w:fill="auto"/>
            <w:noWrap/>
            <w:vAlign w:val="center"/>
            <w:hideMark/>
          </w:tcPr>
          <w:p w14:paraId="30C9B7E1"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9,8</w:t>
            </w:r>
          </w:p>
        </w:tc>
        <w:tc>
          <w:tcPr>
            <w:tcW w:w="0" w:type="auto"/>
            <w:tcBorders>
              <w:top w:val="nil"/>
              <w:left w:val="nil"/>
              <w:bottom w:val="single" w:sz="4" w:space="0" w:color="auto"/>
              <w:right w:val="single" w:sz="4" w:space="0" w:color="auto"/>
            </w:tcBorders>
            <w:shd w:val="clear" w:color="auto" w:fill="auto"/>
            <w:noWrap/>
            <w:vAlign w:val="bottom"/>
            <w:hideMark/>
          </w:tcPr>
          <w:p w14:paraId="45A003A9"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11,4</w:t>
            </w:r>
          </w:p>
        </w:tc>
        <w:tc>
          <w:tcPr>
            <w:tcW w:w="0" w:type="auto"/>
            <w:tcBorders>
              <w:top w:val="nil"/>
              <w:left w:val="nil"/>
              <w:bottom w:val="single" w:sz="4" w:space="0" w:color="auto"/>
              <w:right w:val="single" w:sz="4" w:space="0" w:color="auto"/>
            </w:tcBorders>
            <w:shd w:val="clear" w:color="auto" w:fill="auto"/>
            <w:noWrap/>
            <w:vAlign w:val="bottom"/>
            <w:hideMark/>
          </w:tcPr>
          <w:p w14:paraId="26B94AD4"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8,2</w:t>
            </w:r>
          </w:p>
        </w:tc>
        <w:tc>
          <w:tcPr>
            <w:tcW w:w="0" w:type="auto"/>
            <w:tcBorders>
              <w:top w:val="nil"/>
              <w:left w:val="nil"/>
              <w:bottom w:val="single" w:sz="4" w:space="0" w:color="auto"/>
              <w:right w:val="single" w:sz="4" w:space="0" w:color="auto"/>
            </w:tcBorders>
            <w:shd w:val="clear" w:color="auto" w:fill="auto"/>
            <w:noWrap/>
            <w:vAlign w:val="center"/>
            <w:hideMark/>
          </w:tcPr>
          <w:p w14:paraId="2D787817"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9,3</w:t>
            </w:r>
          </w:p>
        </w:tc>
        <w:tc>
          <w:tcPr>
            <w:tcW w:w="0" w:type="auto"/>
            <w:tcBorders>
              <w:top w:val="nil"/>
              <w:left w:val="nil"/>
              <w:bottom w:val="single" w:sz="4" w:space="0" w:color="auto"/>
              <w:right w:val="single" w:sz="4" w:space="0" w:color="auto"/>
            </w:tcBorders>
            <w:shd w:val="clear" w:color="auto" w:fill="auto"/>
            <w:noWrap/>
            <w:vAlign w:val="center"/>
            <w:hideMark/>
          </w:tcPr>
          <w:p w14:paraId="01A3D25E"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8,4</w:t>
            </w:r>
          </w:p>
        </w:tc>
      </w:tr>
      <w:tr w:rsidR="006359EB" w:rsidRPr="002D532C" w14:paraId="0288D140" w14:textId="77777777" w:rsidTr="006359EB">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4D33027"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Usaquén</w:t>
            </w:r>
          </w:p>
        </w:tc>
        <w:tc>
          <w:tcPr>
            <w:tcW w:w="0" w:type="auto"/>
            <w:tcBorders>
              <w:top w:val="nil"/>
              <w:left w:val="nil"/>
              <w:bottom w:val="single" w:sz="4" w:space="0" w:color="auto"/>
              <w:right w:val="single" w:sz="4" w:space="0" w:color="auto"/>
            </w:tcBorders>
            <w:shd w:val="clear" w:color="auto" w:fill="auto"/>
            <w:noWrap/>
            <w:vAlign w:val="center"/>
            <w:hideMark/>
          </w:tcPr>
          <w:p w14:paraId="44EB3BD1"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3,6</w:t>
            </w:r>
          </w:p>
        </w:tc>
        <w:tc>
          <w:tcPr>
            <w:tcW w:w="0" w:type="auto"/>
            <w:tcBorders>
              <w:top w:val="nil"/>
              <w:left w:val="nil"/>
              <w:bottom w:val="single" w:sz="4" w:space="0" w:color="auto"/>
              <w:right w:val="single" w:sz="4" w:space="0" w:color="auto"/>
            </w:tcBorders>
            <w:shd w:val="clear" w:color="auto" w:fill="auto"/>
            <w:noWrap/>
            <w:vAlign w:val="bottom"/>
            <w:hideMark/>
          </w:tcPr>
          <w:p w14:paraId="0F628DE1"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4,8</w:t>
            </w:r>
          </w:p>
        </w:tc>
        <w:tc>
          <w:tcPr>
            <w:tcW w:w="0" w:type="auto"/>
            <w:tcBorders>
              <w:top w:val="nil"/>
              <w:left w:val="nil"/>
              <w:bottom w:val="single" w:sz="4" w:space="0" w:color="auto"/>
              <w:right w:val="single" w:sz="4" w:space="0" w:color="auto"/>
            </w:tcBorders>
            <w:shd w:val="clear" w:color="auto" w:fill="auto"/>
            <w:noWrap/>
            <w:vAlign w:val="bottom"/>
            <w:hideMark/>
          </w:tcPr>
          <w:p w14:paraId="52E9B91E"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3,7</w:t>
            </w:r>
          </w:p>
        </w:tc>
        <w:tc>
          <w:tcPr>
            <w:tcW w:w="0" w:type="auto"/>
            <w:tcBorders>
              <w:top w:val="nil"/>
              <w:left w:val="nil"/>
              <w:bottom w:val="single" w:sz="4" w:space="0" w:color="auto"/>
              <w:right w:val="single" w:sz="4" w:space="0" w:color="auto"/>
            </w:tcBorders>
            <w:shd w:val="clear" w:color="auto" w:fill="auto"/>
            <w:noWrap/>
            <w:vAlign w:val="center"/>
            <w:hideMark/>
          </w:tcPr>
          <w:p w14:paraId="6B6F9F91"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3,8</w:t>
            </w:r>
          </w:p>
        </w:tc>
        <w:tc>
          <w:tcPr>
            <w:tcW w:w="0" w:type="auto"/>
            <w:tcBorders>
              <w:top w:val="nil"/>
              <w:left w:val="nil"/>
              <w:bottom w:val="single" w:sz="4" w:space="0" w:color="auto"/>
              <w:right w:val="single" w:sz="4" w:space="0" w:color="auto"/>
            </w:tcBorders>
            <w:shd w:val="clear" w:color="auto" w:fill="auto"/>
            <w:noWrap/>
            <w:vAlign w:val="center"/>
            <w:hideMark/>
          </w:tcPr>
          <w:p w14:paraId="34497E8E" w14:textId="77777777" w:rsidR="006359EB" w:rsidRPr="002D532C" w:rsidRDefault="006359EB"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3,3</w:t>
            </w:r>
          </w:p>
        </w:tc>
      </w:tr>
    </w:tbl>
    <w:p w14:paraId="55D0388D" w14:textId="77777777" w:rsidR="006359EB" w:rsidRPr="002D532C" w:rsidRDefault="006359EB" w:rsidP="002D532C">
      <w:pPr>
        <w:spacing w:line="259" w:lineRule="auto"/>
        <w:jc w:val="center"/>
        <w:rPr>
          <w:rFonts w:ascii="Arial" w:eastAsia="Calibri" w:hAnsi="Arial" w:cs="Arial"/>
        </w:rPr>
      </w:pPr>
      <w:r w:rsidRPr="002D532C">
        <w:rPr>
          <w:rFonts w:ascii="Arial" w:eastAsia="Calibri" w:hAnsi="Arial" w:cs="Arial"/>
          <w:b/>
        </w:rPr>
        <w:t>Fuente:</w:t>
      </w:r>
      <w:r w:rsidRPr="002D532C">
        <w:rPr>
          <w:rFonts w:ascii="Arial" w:eastAsia="Calibri" w:hAnsi="Arial" w:cs="Arial"/>
        </w:rPr>
        <w:t xml:space="preserve"> Bases SIVIGILA Consolidado 850, 2020-2024.</w:t>
      </w:r>
    </w:p>
    <w:p w14:paraId="1196D02A" w14:textId="77777777" w:rsidR="00936712" w:rsidRPr="002D532C" w:rsidRDefault="00936712" w:rsidP="002D532C">
      <w:pPr>
        <w:shd w:val="clear" w:color="auto" w:fill="FFFFFF"/>
        <w:spacing w:after="0" w:line="257" w:lineRule="atLeast"/>
        <w:ind w:left="66"/>
        <w:jc w:val="both"/>
        <w:rPr>
          <w:rFonts w:ascii="Arial" w:eastAsia="Calibri" w:hAnsi="Arial" w:cs="Arial"/>
          <w:bCs/>
        </w:rPr>
      </w:pPr>
      <w:r w:rsidRPr="002D532C">
        <w:rPr>
          <w:rFonts w:ascii="Arial" w:eastAsia="Calibri" w:hAnsi="Arial" w:cs="Arial"/>
          <w:bCs/>
        </w:rPr>
        <w:t>Para el quinquenio 2020-2024, las localidades de Barrios Unidos, Chapinero y Teusaquillo presentan los mayores porcentajes de casos notificados de VIH en la Subred Norte. En particular, Chapinero alcanzó su máxima incidencia en 2021, con 12,8 casos por cada 10.000 habitantes, y desde entonces ha mostrado una tendencia a la baja, ubicándose en 7,7 casos en 2024.</w:t>
      </w:r>
    </w:p>
    <w:p w14:paraId="61BCA2E3" w14:textId="77777777" w:rsidR="00936712" w:rsidRPr="002D532C" w:rsidRDefault="00936712" w:rsidP="002D532C">
      <w:pPr>
        <w:shd w:val="clear" w:color="auto" w:fill="FFFFFF"/>
        <w:spacing w:after="0" w:line="257" w:lineRule="atLeast"/>
        <w:ind w:left="66"/>
        <w:jc w:val="both"/>
        <w:rPr>
          <w:rFonts w:ascii="Arial" w:eastAsia="Calibri" w:hAnsi="Arial" w:cs="Arial"/>
          <w:bCs/>
        </w:rPr>
      </w:pPr>
    </w:p>
    <w:p w14:paraId="1CC1D12F" w14:textId="77777777" w:rsidR="00936712" w:rsidRPr="002D532C" w:rsidRDefault="00936712" w:rsidP="002D532C">
      <w:pPr>
        <w:shd w:val="clear" w:color="auto" w:fill="FFFFFF"/>
        <w:spacing w:after="0" w:line="257" w:lineRule="atLeast"/>
        <w:ind w:left="66"/>
        <w:jc w:val="both"/>
        <w:rPr>
          <w:rFonts w:ascii="Arial" w:eastAsia="Calibri" w:hAnsi="Arial" w:cs="Arial"/>
          <w:bCs/>
        </w:rPr>
      </w:pPr>
      <w:r w:rsidRPr="002D532C">
        <w:rPr>
          <w:rFonts w:ascii="Arial" w:eastAsia="Calibri" w:hAnsi="Arial" w:cs="Arial"/>
          <w:bCs/>
        </w:rPr>
        <w:t>Por otro lado, Teusaquillo presentó una incidencia de 11,4 en 2021, y aunque su número ha fluctuado, en 2024 superó a Chapinero, con 8,4 casos por cada 10.000 habitantes.</w:t>
      </w:r>
    </w:p>
    <w:p w14:paraId="5282AF12" w14:textId="77777777" w:rsidR="00936712" w:rsidRPr="002D532C" w:rsidRDefault="00936712" w:rsidP="002D532C">
      <w:pPr>
        <w:shd w:val="clear" w:color="auto" w:fill="FFFFFF"/>
        <w:spacing w:after="0" w:line="257" w:lineRule="atLeast"/>
        <w:ind w:left="66"/>
        <w:jc w:val="both"/>
        <w:rPr>
          <w:rFonts w:ascii="Arial" w:eastAsia="Calibri" w:hAnsi="Arial" w:cs="Arial"/>
          <w:bCs/>
        </w:rPr>
      </w:pPr>
    </w:p>
    <w:p w14:paraId="7A832BD0" w14:textId="77777777" w:rsidR="00936712" w:rsidRPr="002D532C" w:rsidRDefault="00936712" w:rsidP="002D532C">
      <w:pPr>
        <w:shd w:val="clear" w:color="auto" w:fill="FFFFFF"/>
        <w:spacing w:after="0" w:line="257" w:lineRule="atLeast"/>
        <w:ind w:left="66"/>
        <w:jc w:val="both"/>
        <w:rPr>
          <w:rFonts w:ascii="Arial" w:eastAsia="Calibri" w:hAnsi="Arial" w:cs="Arial"/>
          <w:bCs/>
        </w:rPr>
      </w:pPr>
      <w:r w:rsidRPr="002D532C">
        <w:rPr>
          <w:rFonts w:ascii="Arial" w:eastAsia="Calibri" w:hAnsi="Arial" w:cs="Arial"/>
          <w:bCs/>
        </w:rPr>
        <w:lastRenderedPageBreak/>
        <w:t>Las demás localidades, como Engativá, Suba y Usaquén, muestran una incidencia más baja y estable a lo largo del periodo, con Usaquén registrando los porcentajes más bajos de todos.</w:t>
      </w:r>
    </w:p>
    <w:p w14:paraId="7D6C881F" w14:textId="77777777" w:rsidR="006322A3" w:rsidRPr="002D532C" w:rsidRDefault="006322A3" w:rsidP="002D532C">
      <w:pPr>
        <w:shd w:val="clear" w:color="auto" w:fill="FFFFFF"/>
        <w:spacing w:after="0" w:line="257" w:lineRule="atLeast"/>
        <w:ind w:left="426"/>
        <w:jc w:val="both"/>
        <w:rPr>
          <w:rFonts w:ascii="Arial" w:eastAsia="Times New Roman" w:hAnsi="Arial" w:cs="Arial"/>
          <w:color w:val="000000"/>
          <w:lang w:eastAsia="es-CO"/>
        </w:rPr>
      </w:pPr>
    </w:p>
    <w:p w14:paraId="7ADF2B1F" w14:textId="41F48DAF" w:rsidR="00764FA6" w:rsidRPr="002D532C" w:rsidRDefault="005B7EAE" w:rsidP="002D532C">
      <w:pPr>
        <w:numPr>
          <w:ilvl w:val="0"/>
          <w:numId w:val="7"/>
        </w:numPr>
        <w:shd w:val="clear" w:color="auto" w:fill="FFFFFF"/>
        <w:spacing w:after="0" w:line="257" w:lineRule="atLeast"/>
        <w:ind w:left="426"/>
        <w:jc w:val="both"/>
        <w:rPr>
          <w:rFonts w:ascii="Arial" w:eastAsia="Times New Roman" w:hAnsi="Arial" w:cs="Arial"/>
          <w:b/>
          <w:bCs/>
          <w:color w:val="000000"/>
          <w:lang w:eastAsia="es-CO"/>
        </w:rPr>
      </w:pPr>
      <w:r w:rsidRPr="002D532C">
        <w:rPr>
          <w:rFonts w:ascii="Arial" w:eastAsia="Times New Roman" w:hAnsi="Arial" w:cs="Arial"/>
          <w:color w:val="000000"/>
          <w:lang w:eastAsia="es-CO"/>
        </w:rPr>
        <w:t>Conforme a la información dada, discriminar por género, rango etario, estrato social e informe cuál es la tasa de población mayormente afectada por esta enfermedad en cada grupo. </w:t>
      </w:r>
    </w:p>
    <w:p w14:paraId="5DEC4957" w14:textId="77777777" w:rsidR="00CB75A6" w:rsidRPr="002D532C" w:rsidRDefault="00CB75A6" w:rsidP="002D532C">
      <w:pPr>
        <w:shd w:val="clear" w:color="auto" w:fill="FFFFFF"/>
        <w:spacing w:after="0" w:line="257" w:lineRule="atLeast"/>
        <w:ind w:left="426"/>
        <w:jc w:val="both"/>
        <w:rPr>
          <w:rFonts w:ascii="Arial" w:eastAsia="Times New Roman" w:hAnsi="Arial" w:cs="Arial"/>
          <w:b/>
          <w:bCs/>
          <w:color w:val="000000"/>
          <w:lang w:eastAsia="es-CO"/>
        </w:rPr>
      </w:pPr>
    </w:p>
    <w:p w14:paraId="0DD4BBF4" w14:textId="506A8B0B" w:rsidR="00764FA6" w:rsidRPr="002D532C" w:rsidRDefault="00764FA6" w:rsidP="002D532C">
      <w:pPr>
        <w:shd w:val="clear" w:color="auto" w:fill="FFFFFF"/>
        <w:spacing w:after="0" w:line="257" w:lineRule="atLeast"/>
        <w:ind w:left="66"/>
        <w:jc w:val="both"/>
        <w:rPr>
          <w:rFonts w:ascii="Arial" w:eastAsia="Times New Roman" w:hAnsi="Arial" w:cs="Arial"/>
          <w:b/>
          <w:bCs/>
          <w:color w:val="000000"/>
          <w:lang w:eastAsia="es-CO"/>
        </w:rPr>
      </w:pPr>
      <w:r w:rsidRPr="002D532C">
        <w:rPr>
          <w:rFonts w:ascii="Arial" w:eastAsia="Times New Roman" w:hAnsi="Arial" w:cs="Arial"/>
          <w:b/>
          <w:bCs/>
          <w:color w:val="000000"/>
          <w:lang w:eastAsia="es-CO"/>
        </w:rPr>
        <w:t>Respuesta</w:t>
      </w:r>
    </w:p>
    <w:p w14:paraId="1F305F94" w14:textId="77777777" w:rsidR="00111084" w:rsidRPr="002D532C" w:rsidRDefault="00111084" w:rsidP="002D532C">
      <w:pPr>
        <w:keepNext/>
        <w:spacing w:after="0" w:line="240" w:lineRule="auto"/>
        <w:jc w:val="both"/>
        <w:rPr>
          <w:rFonts w:ascii="Arial" w:eastAsia="Calibri" w:hAnsi="Arial" w:cs="Arial"/>
          <w:b/>
          <w:bCs/>
          <w:kern w:val="2"/>
          <w14:ligatures w14:val="standardContextual"/>
        </w:rPr>
      </w:pPr>
    </w:p>
    <w:p w14:paraId="6C057C59" w14:textId="772D4802" w:rsidR="00764FA6" w:rsidRPr="002D532C" w:rsidRDefault="00764FA6" w:rsidP="002D532C">
      <w:pPr>
        <w:keepNext/>
        <w:spacing w:after="0" w:line="240" w:lineRule="auto"/>
        <w:jc w:val="center"/>
        <w:rPr>
          <w:rFonts w:ascii="Arial" w:eastAsia="Calibri" w:hAnsi="Arial" w:cs="Arial"/>
          <w:b/>
          <w:bCs/>
          <w:kern w:val="2"/>
          <w14:ligatures w14:val="standardContextual"/>
        </w:rPr>
      </w:pPr>
      <w:r w:rsidRPr="002D532C">
        <w:rPr>
          <w:rFonts w:ascii="Arial" w:eastAsia="Calibri" w:hAnsi="Arial" w:cs="Arial"/>
          <w:b/>
          <w:bCs/>
          <w:kern w:val="2"/>
          <w14:ligatures w14:val="standardContextual"/>
        </w:rPr>
        <w:t>Tabla 2. Casos notificados por ciclo de vida y sexo del evento 850 VIH en las seis localidades de la Subred Norte, 2020- 2024.</w:t>
      </w:r>
    </w:p>
    <w:tbl>
      <w:tblPr>
        <w:tblW w:w="0" w:type="auto"/>
        <w:jc w:val="center"/>
        <w:tblCellMar>
          <w:left w:w="70" w:type="dxa"/>
          <w:right w:w="70" w:type="dxa"/>
        </w:tblCellMar>
        <w:tblLook w:val="04A0" w:firstRow="1" w:lastRow="0" w:firstColumn="1" w:lastColumn="0" w:noHBand="0" w:noVBand="1"/>
      </w:tblPr>
      <w:tblGrid>
        <w:gridCol w:w="1874"/>
        <w:gridCol w:w="1007"/>
        <w:gridCol w:w="1741"/>
        <w:gridCol w:w="1218"/>
        <w:gridCol w:w="1074"/>
        <w:gridCol w:w="807"/>
      </w:tblGrid>
      <w:tr w:rsidR="00764FA6" w:rsidRPr="002D532C" w14:paraId="7337A045" w14:textId="77777777" w:rsidTr="00E65D54">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298055CC" w14:textId="77777777" w:rsidR="00764FA6" w:rsidRPr="002D532C" w:rsidRDefault="00764FA6" w:rsidP="002D532C">
            <w:pPr>
              <w:spacing w:after="0" w:line="240" w:lineRule="auto"/>
              <w:jc w:val="both"/>
              <w:rPr>
                <w:rFonts w:ascii="Arial" w:eastAsia="Times New Roman" w:hAnsi="Arial" w:cs="Arial"/>
                <w:b/>
                <w:bCs/>
                <w:color w:val="000000"/>
                <w:sz w:val="20"/>
                <w:szCs w:val="20"/>
                <w:lang w:eastAsia="es-CO"/>
              </w:rPr>
            </w:pPr>
            <w:r w:rsidRPr="002D532C">
              <w:rPr>
                <w:rFonts w:ascii="Arial" w:eastAsia="Times New Roman" w:hAnsi="Arial" w:cs="Arial"/>
                <w:b/>
                <w:bCs/>
                <w:color w:val="000000"/>
                <w:sz w:val="20"/>
                <w:szCs w:val="20"/>
                <w:lang w:eastAsia="es-CO"/>
              </w:rPr>
              <w:t>LOCALIDAD</w:t>
            </w:r>
          </w:p>
        </w:tc>
        <w:tc>
          <w:tcPr>
            <w:tcW w:w="0" w:type="auto"/>
            <w:tcBorders>
              <w:top w:val="single" w:sz="4" w:space="0" w:color="auto"/>
              <w:left w:val="nil"/>
              <w:bottom w:val="single" w:sz="4" w:space="0" w:color="auto"/>
              <w:right w:val="single" w:sz="4" w:space="0" w:color="auto"/>
            </w:tcBorders>
            <w:shd w:val="clear" w:color="auto" w:fill="E7E6E6" w:themeFill="background2"/>
            <w:noWrap/>
            <w:vAlign w:val="bottom"/>
            <w:hideMark/>
          </w:tcPr>
          <w:p w14:paraId="3B684981" w14:textId="77777777" w:rsidR="00764FA6" w:rsidRPr="002D532C" w:rsidRDefault="00764FA6" w:rsidP="002D532C">
            <w:pPr>
              <w:spacing w:after="0" w:line="240" w:lineRule="auto"/>
              <w:jc w:val="both"/>
              <w:rPr>
                <w:rFonts w:ascii="Arial" w:eastAsia="Times New Roman" w:hAnsi="Arial" w:cs="Arial"/>
                <w:b/>
                <w:bCs/>
                <w:color w:val="000000"/>
                <w:sz w:val="20"/>
                <w:szCs w:val="20"/>
                <w:lang w:eastAsia="es-CO"/>
              </w:rPr>
            </w:pPr>
            <w:r w:rsidRPr="002D532C">
              <w:rPr>
                <w:rFonts w:ascii="Arial" w:eastAsia="Times New Roman" w:hAnsi="Arial" w:cs="Arial"/>
                <w:b/>
                <w:bCs/>
                <w:color w:val="000000"/>
                <w:sz w:val="20"/>
                <w:szCs w:val="20"/>
                <w:lang w:eastAsia="es-CO"/>
              </w:rPr>
              <w:t>GENERO</w:t>
            </w:r>
          </w:p>
        </w:tc>
        <w:tc>
          <w:tcPr>
            <w:tcW w:w="0" w:type="auto"/>
            <w:tcBorders>
              <w:top w:val="single" w:sz="4" w:space="0" w:color="auto"/>
              <w:left w:val="nil"/>
              <w:bottom w:val="single" w:sz="4" w:space="0" w:color="auto"/>
              <w:right w:val="single" w:sz="4" w:space="0" w:color="auto"/>
            </w:tcBorders>
            <w:shd w:val="clear" w:color="auto" w:fill="E7E6E6" w:themeFill="background2"/>
            <w:noWrap/>
            <w:vAlign w:val="bottom"/>
            <w:hideMark/>
          </w:tcPr>
          <w:p w14:paraId="2AD89DE6" w14:textId="77777777" w:rsidR="00764FA6" w:rsidRPr="002D532C" w:rsidRDefault="00764FA6" w:rsidP="002D532C">
            <w:pPr>
              <w:spacing w:after="0" w:line="240" w:lineRule="auto"/>
              <w:jc w:val="both"/>
              <w:rPr>
                <w:rFonts w:ascii="Arial" w:eastAsia="Times New Roman" w:hAnsi="Arial" w:cs="Arial"/>
                <w:b/>
                <w:bCs/>
                <w:color w:val="000000"/>
                <w:sz w:val="20"/>
                <w:szCs w:val="20"/>
                <w:lang w:eastAsia="es-CO"/>
              </w:rPr>
            </w:pPr>
            <w:r w:rsidRPr="002D532C">
              <w:rPr>
                <w:rFonts w:ascii="Arial" w:eastAsia="Times New Roman" w:hAnsi="Arial" w:cs="Arial"/>
                <w:b/>
                <w:bCs/>
                <w:color w:val="000000"/>
                <w:sz w:val="20"/>
                <w:szCs w:val="20"/>
                <w:lang w:eastAsia="es-CO"/>
              </w:rPr>
              <w:t xml:space="preserve">ADOLESCENCIA </w:t>
            </w:r>
          </w:p>
        </w:tc>
        <w:tc>
          <w:tcPr>
            <w:tcW w:w="0" w:type="auto"/>
            <w:tcBorders>
              <w:top w:val="single" w:sz="4" w:space="0" w:color="auto"/>
              <w:left w:val="nil"/>
              <w:bottom w:val="single" w:sz="4" w:space="0" w:color="auto"/>
              <w:right w:val="single" w:sz="4" w:space="0" w:color="auto"/>
            </w:tcBorders>
            <w:shd w:val="clear" w:color="auto" w:fill="E7E6E6" w:themeFill="background2"/>
            <w:noWrap/>
            <w:vAlign w:val="bottom"/>
            <w:hideMark/>
          </w:tcPr>
          <w:p w14:paraId="532E57B2" w14:textId="77777777" w:rsidR="00764FA6" w:rsidRPr="002D532C" w:rsidRDefault="00764FA6" w:rsidP="002D532C">
            <w:pPr>
              <w:spacing w:after="0" w:line="240" w:lineRule="auto"/>
              <w:jc w:val="both"/>
              <w:rPr>
                <w:rFonts w:ascii="Arial" w:eastAsia="Times New Roman" w:hAnsi="Arial" w:cs="Arial"/>
                <w:b/>
                <w:bCs/>
                <w:color w:val="000000"/>
                <w:sz w:val="20"/>
                <w:szCs w:val="20"/>
                <w:lang w:eastAsia="es-CO"/>
              </w:rPr>
            </w:pPr>
            <w:r w:rsidRPr="002D532C">
              <w:rPr>
                <w:rFonts w:ascii="Arial" w:eastAsia="Times New Roman" w:hAnsi="Arial" w:cs="Arial"/>
                <w:b/>
                <w:bCs/>
                <w:color w:val="000000"/>
                <w:sz w:val="20"/>
                <w:szCs w:val="20"/>
                <w:lang w:eastAsia="es-CO"/>
              </w:rPr>
              <w:t>JUVENTUD</w:t>
            </w:r>
          </w:p>
        </w:tc>
        <w:tc>
          <w:tcPr>
            <w:tcW w:w="0" w:type="auto"/>
            <w:tcBorders>
              <w:top w:val="single" w:sz="4" w:space="0" w:color="auto"/>
              <w:left w:val="nil"/>
              <w:bottom w:val="single" w:sz="4" w:space="0" w:color="auto"/>
              <w:right w:val="single" w:sz="4" w:space="0" w:color="auto"/>
            </w:tcBorders>
            <w:shd w:val="clear" w:color="auto" w:fill="E7E6E6" w:themeFill="background2"/>
            <w:noWrap/>
            <w:vAlign w:val="bottom"/>
            <w:hideMark/>
          </w:tcPr>
          <w:p w14:paraId="33E72B05" w14:textId="77777777" w:rsidR="00764FA6" w:rsidRPr="002D532C" w:rsidRDefault="00764FA6" w:rsidP="002D532C">
            <w:pPr>
              <w:spacing w:after="0" w:line="240" w:lineRule="auto"/>
              <w:jc w:val="both"/>
              <w:rPr>
                <w:rFonts w:ascii="Arial" w:eastAsia="Times New Roman" w:hAnsi="Arial" w:cs="Arial"/>
                <w:b/>
                <w:bCs/>
                <w:color w:val="000000"/>
                <w:sz w:val="20"/>
                <w:szCs w:val="20"/>
                <w:lang w:eastAsia="es-CO"/>
              </w:rPr>
            </w:pPr>
            <w:r w:rsidRPr="002D532C">
              <w:rPr>
                <w:rFonts w:ascii="Arial" w:eastAsia="Times New Roman" w:hAnsi="Arial" w:cs="Arial"/>
                <w:b/>
                <w:bCs/>
                <w:color w:val="000000"/>
                <w:sz w:val="20"/>
                <w:szCs w:val="20"/>
                <w:lang w:eastAsia="es-CO"/>
              </w:rPr>
              <w:t>ADULTEZ</w:t>
            </w:r>
          </w:p>
        </w:tc>
        <w:tc>
          <w:tcPr>
            <w:tcW w:w="0" w:type="auto"/>
            <w:tcBorders>
              <w:top w:val="single" w:sz="4" w:space="0" w:color="auto"/>
              <w:left w:val="nil"/>
              <w:bottom w:val="single" w:sz="4" w:space="0" w:color="auto"/>
              <w:right w:val="single" w:sz="4" w:space="0" w:color="auto"/>
            </w:tcBorders>
            <w:shd w:val="clear" w:color="auto" w:fill="E7E6E6" w:themeFill="background2"/>
            <w:noWrap/>
            <w:vAlign w:val="center"/>
            <w:hideMark/>
          </w:tcPr>
          <w:p w14:paraId="466A331C" w14:textId="77777777" w:rsidR="00764FA6" w:rsidRPr="002D532C" w:rsidRDefault="00764FA6" w:rsidP="002D532C">
            <w:pPr>
              <w:spacing w:after="0" w:line="240" w:lineRule="auto"/>
              <w:jc w:val="both"/>
              <w:rPr>
                <w:rFonts w:ascii="Arial" w:eastAsia="Times New Roman" w:hAnsi="Arial" w:cs="Arial"/>
                <w:b/>
                <w:bCs/>
                <w:color w:val="000000"/>
                <w:sz w:val="20"/>
                <w:szCs w:val="20"/>
                <w:lang w:eastAsia="es-CO"/>
              </w:rPr>
            </w:pPr>
            <w:r w:rsidRPr="002D532C">
              <w:rPr>
                <w:rFonts w:ascii="Arial" w:eastAsia="Times New Roman" w:hAnsi="Arial" w:cs="Arial"/>
                <w:b/>
                <w:bCs/>
                <w:color w:val="000000"/>
                <w:sz w:val="20"/>
                <w:szCs w:val="20"/>
                <w:lang w:eastAsia="es-CO"/>
              </w:rPr>
              <w:t>TOTAL</w:t>
            </w:r>
          </w:p>
        </w:tc>
      </w:tr>
      <w:tr w:rsidR="00764FA6" w:rsidRPr="002D532C" w14:paraId="1E99FBF3" w14:textId="77777777" w:rsidTr="00E65D54">
        <w:trPr>
          <w:trHeight w:val="20"/>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80C74DF"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BARRIOS UNIDOS</w:t>
            </w:r>
          </w:p>
        </w:tc>
        <w:tc>
          <w:tcPr>
            <w:tcW w:w="0" w:type="auto"/>
            <w:tcBorders>
              <w:top w:val="nil"/>
              <w:left w:val="nil"/>
              <w:bottom w:val="single" w:sz="4" w:space="0" w:color="auto"/>
              <w:right w:val="single" w:sz="4" w:space="0" w:color="auto"/>
            </w:tcBorders>
            <w:shd w:val="clear" w:color="auto" w:fill="auto"/>
            <w:noWrap/>
            <w:vAlign w:val="center"/>
            <w:hideMark/>
          </w:tcPr>
          <w:p w14:paraId="50EC67F3"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F</w:t>
            </w:r>
          </w:p>
        </w:tc>
        <w:tc>
          <w:tcPr>
            <w:tcW w:w="0" w:type="auto"/>
            <w:tcBorders>
              <w:top w:val="nil"/>
              <w:left w:val="nil"/>
              <w:bottom w:val="single" w:sz="4" w:space="0" w:color="auto"/>
              <w:right w:val="single" w:sz="4" w:space="0" w:color="auto"/>
            </w:tcBorders>
            <w:shd w:val="clear" w:color="auto" w:fill="auto"/>
            <w:noWrap/>
            <w:vAlign w:val="center"/>
            <w:hideMark/>
          </w:tcPr>
          <w:p w14:paraId="185CC66C"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3</w:t>
            </w:r>
          </w:p>
        </w:tc>
        <w:tc>
          <w:tcPr>
            <w:tcW w:w="0" w:type="auto"/>
            <w:tcBorders>
              <w:top w:val="nil"/>
              <w:left w:val="nil"/>
              <w:bottom w:val="single" w:sz="4" w:space="0" w:color="auto"/>
              <w:right w:val="single" w:sz="4" w:space="0" w:color="auto"/>
            </w:tcBorders>
            <w:shd w:val="clear" w:color="auto" w:fill="auto"/>
            <w:noWrap/>
            <w:vAlign w:val="center"/>
            <w:hideMark/>
          </w:tcPr>
          <w:p w14:paraId="3A34DB5A"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19</w:t>
            </w:r>
          </w:p>
        </w:tc>
        <w:tc>
          <w:tcPr>
            <w:tcW w:w="0" w:type="auto"/>
            <w:tcBorders>
              <w:top w:val="nil"/>
              <w:left w:val="nil"/>
              <w:bottom w:val="single" w:sz="4" w:space="0" w:color="auto"/>
              <w:right w:val="single" w:sz="4" w:space="0" w:color="auto"/>
            </w:tcBorders>
            <w:shd w:val="clear" w:color="auto" w:fill="auto"/>
            <w:noWrap/>
            <w:vAlign w:val="center"/>
            <w:hideMark/>
          </w:tcPr>
          <w:p w14:paraId="18CFD56D"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34</w:t>
            </w:r>
          </w:p>
        </w:tc>
        <w:tc>
          <w:tcPr>
            <w:tcW w:w="0" w:type="auto"/>
            <w:tcBorders>
              <w:top w:val="nil"/>
              <w:left w:val="nil"/>
              <w:bottom w:val="single" w:sz="4" w:space="0" w:color="auto"/>
              <w:right w:val="single" w:sz="4" w:space="0" w:color="auto"/>
            </w:tcBorders>
            <w:shd w:val="clear" w:color="auto" w:fill="auto"/>
            <w:noWrap/>
            <w:vAlign w:val="center"/>
            <w:hideMark/>
          </w:tcPr>
          <w:p w14:paraId="783B863E"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56</w:t>
            </w:r>
          </w:p>
        </w:tc>
      </w:tr>
      <w:tr w:rsidR="00764FA6" w:rsidRPr="002D532C" w14:paraId="191E86AB" w14:textId="77777777" w:rsidTr="00E65D54">
        <w:trPr>
          <w:trHeight w:val="20"/>
          <w:jc w:val="center"/>
        </w:trPr>
        <w:tc>
          <w:tcPr>
            <w:tcW w:w="0" w:type="auto"/>
            <w:vMerge/>
            <w:tcBorders>
              <w:top w:val="nil"/>
              <w:left w:val="single" w:sz="4" w:space="0" w:color="auto"/>
              <w:bottom w:val="single" w:sz="4" w:space="0" w:color="auto"/>
              <w:right w:val="single" w:sz="4" w:space="0" w:color="auto"/>
            </w:tcBorders>
            <w:vAlign w:val="center"/>
            <w:hideMark/>
          </w:tcPr>
          <w:p w14:paraId="146363D5"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p>
        </w:tc>
        <w:tc>
          <w:tcPr>
            <w:tcW w:w="0" w:type="auto"/>
            <w:tcBorders>
              <w:top w:val="nil"/>
              <w:left w:val="nil"/>
              <w:bottom w:val="single" w:sz="4" w:space="0" w:color="auto"/>
              <w:right w:val="single" w:sz="4" w:space="0" w:color="auto"/>
            </w:tcBorders>
            <w:shd w:val="clear" w:color="auto" w:fill="auto"/>
            <w:noWrap/>
            <w:vAlign w:val="center"/>
            <w:hideMark/>
          </w:tcPr>
          <w:p w14:paraId="43F9B1F4"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M</w:t>
            </w:r>
          </w:p>
        </w:tc>
        <w:tc>
          <w:tcPr>
            <w:tcW w:w="0" w:type="auto"/>
            <w:tcBorders>
              <w:top w:val="nil"/>
              <w:left w:val="nil"/>
              <w:bottom w:val="single" w:sz="4" w:space="0" w:color="auto"/>
              <w:right w:val="single" w:sz="4" w:space="0" w:color="auto"/>
            </w:tcBorders>
            <w:shd w:val="clear" w:color="auto" w:fill="auto"/>
            <w:noWrap/>
            <w:vAlign w:val="center"/>
            <w:hideMark/>
          </w:tcPr>
          <w:p w14:paraId="5D2CB3BB"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15</w:t>
            </w:r>
          </w:p>
        </w:tc>
        <w:tc>
          <w:tcPr>
            <w:tcW w:w="0" w:type="auto"/>
            <w:tcBorders>
              <w:top w:val="nil"/>
              <w:left w:val="nil"/>
              <w:bottom w:val="single" w:sz="4" w:space="0" w:color="auto"/>
              <w:right w:val="single" w:sz="4" w:space="0" w:color="auto"/>
            </w:tcBorders>
            <w:shd w:val="clear" w:color="auto" w:fill="auto"/>
            <w:noWrap/>
            <w:vAlign w:val="center"/>
            <w:hideMark/>
          </w:tcPr>
          <w:p w14:paraId="16F801D3"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218</w:t>
            </w:r>
          </w:p>
        </w:tc>
        <w:tc>
          <w:tcPr>
            <w:tcW w:w="0" w:type="auto"/>
            <w:tcBorders>
              <w:top w:val="nil"/>
              <w:left w:val="nil"/>
              <w:bottom w:val="single" w:sz="4" w:space="0" w:color="auto"/>
              <w:right w:val="single" w:sz="4" w:space="0" w:color="auto"/>
            </w:tcBorders>
            <w:shd w:val="clear" w:color="auto" w:fill="auto"/>
            <w:noWrap/>
            <w:vAlign w:val="center"/>
            <w:hideMark/>
          </w:tcPr>
          <w:p w14:paraId="436ABCEA"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286</w:t>
            </w:r>
          </w:p>
        </w:tc>
        <w:tc>
          <w:tcPr>
            <w:tcW w:w="0" w:type="auto"/>
            <w:tcBorders>
              <w:top w:val="nil"/>
              <w:left w:val="nil"/>
              <w:bottom w:val="single" w:sz="4" w:space="0" w:color="auto"/>
              <w:right w:val="single" w:sz="4" w:space="0" w:color="auto"/>
            </w:tcBorders>
            <w:shd w:val="clear" w:color="auto" w:fill="auto"/>
            <w:noWrap/>
            <w:vAlign w:val="center"/>
            <w:hideMark/>
          </w:tcPr>
          <w:p w14:paraId="70DE3EDD"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519</w:t>
            </w:r>
          </w:p>
        </w:tc>
      </w:tr>
      <w:tr w:rsidR="00764FA6" w:rsidRPr="002D532C" w14:paraId="6C256391" w14:textId="77777777" w:rsidTr="00E65D54">
        <w:trPr>
          <w:trHeight w:val="20"/>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32114A1"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CHAPINERO</w:t>
            </w:r>
          </w:p>
        </w:tc>
        <w:tc>
          <w:tcPr>
            <w:tcW w:w="0" w:type="auto"/>
            <w:tcBorders>
              <w:top w:val="nil"/>
              <w:left w:val="nil"/>
              <w:bottom w:val="single" w:sz="4" w:space="0" w:color="auto"/>
              <w:right w:val="single" w:sz="4" w:space="0" w:color="auto"/>
            </w:tcBorders>
            <w:shd w:val="clear" w:color="auto" w:fill="auto"/>
            <w:noWrap/>
            <w:vAlign w:val="center"/>
            <w:hideMark/>
          </w:tcPr>
          <w:p w14:paraId="67213B67"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F</w:t>
            </w:r>
          </w:p>
        </w:tc>
        <w:tc>
          <w:tcPr>
            <w:tcW w:w="0" w:type="auto"/>
            <w:tcBorders>
              <w:top w:val="nil"/>
              <w:left w:val="nil"/>
              <w:bottom w:val="single" w:sz="4" w:space="0" w:color="auto"/>
              <w:right w:val="single" w:sz="4" w:space="0" w:color="auto"/>
            </w:tcBorders>
            <w:shd w:val="clear" w:color="auto" w:fill="auto"/>
            <w:noWrap/>
            <w:vAlign w:val="bottom"/>
            <w:hideMark/>
          </w:tcPr>
          <w:p w14:paraId="00F0D33C"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3</w:t>
            </w:r>
          </w:p>
        </w:tc>
        <w:tc>
          <w:tcPr>
            <w:tcW w:w="0" w:type="auto"/>
            <w:tcBorders>
              <w:top w:val="nil"/>
              <w:left w:val="nil"/>
              <w:bottom w:val="single" w:sz="4" w:space="0" w:color="auto"/>
              <w:right w:val="single" w:sz="4" w:space="0" w:color="auto"/>
            </w:tcBorders>
            <w:shd w:val="clear" w:color="auto" w:fill="auto"/>
            <w:noWrap/>
            <w:vAlign w:val="bottom"/>
            <w:hideMark/>
          </w:tcPr>
          <w:p w14:paraId="31E45F18"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8</w:t>
            </w:r>
          </w:p>
        </w:tc>
        <w:tc>
          <w:tcPr>
            <w:tcW w:w="0" w:type="auto"/>
            <w:tcBorders>
              <w:top w:val="nil"/>
              <w:left w:val="nil"/>
              <w:bottom w:val="single" w:sz="4" w:space="0" w:color="auto"/>
              <w:right w:val="single" w:sz="4" w:space="0" w:color="auto"/>
            </w:tcBorders>
            <w:shd w:val="clear" w:color="auto" w:fill="auto"/>
            <w:noWrap/>
            <w:vAlign w:val="center"/>
            <w:hideMark/>
          </w:tcPr>
          <w:p w14:paraId="2120DB56"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14</w:t>
            </w:r>
          </w:p>
        </w:tc>
        <w:tc>
          <w:tcPr>
            <w:tcW w:w="0" w:type="auto"/>
            <w:tcBorders>
              <w:top w:val="nil"/>
              <w:left w:val="nil"/>
              <w:bottom w:val="single" w:sz="4" w:space="0" w:color="auto"/>
              <w:right w:val="single" w:sz="4" w:space="0" w:color="auto"/>
            </w:tcBorders>
            <w:shd w:val="clear" w:color="auto" w:fill="auto"/>
            <w:noWrap/>
            <w:vAlign w:val="center"/>
            <w:hideMark/>
          </w:tcPr>
          <w:p w14:paraId="048B3964"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25</w:t>
            </w:r>
          </w:p>
        </w:tc>
      </w:tr>
      <w:tr w:rsidR="00764FA6" w:rsidRPr="002D532C" w14:paraId="2E0111FD" w14:textId="77777777" w:rsidTr="00E65D54">
        <w:trPr>
          <w:trHeight w:val="20"/>
          <w:jc w:val="center"/>
        </w:trPr>
        <w:tc>
          <w:tcPr>
            <w:tcW w:w="0" w:type="auto"/>
            <w:vMerge/>
            <w:tcBorders>
              <w:top w:val="nil"/>
              <w:left w:val="single" w:sz="4" w:space="0" w:color="auto"/>
              <w:bottom w:val="single" w:sz="4" w:space="0" w:color="auto"/>
              <w:right w:val="single" w:sz="4" w:space="0" w:color="auto"/>
            </w:tcBorders>
            <w:vAlign w:val="center"/>
            <w:hideMark/>
          </w:tcPr>
          <w:p w14:paraId="716996A4"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p>
        </w:tc>
        <w:tc>
          <w:tcPr>
            <w:tcW w:w="0" w:type="auto"/>
            <w:tcBorders>
              <w:top w:val="nil"/>
              <w:left w:val="nil"/>
              <w:bottom w:val="single" w:sz="4" w:space="0" w:color="auto"/>
              <w:right w:val="single" w:sz="4" w:space="0" w:color="auto"/>
            </w:tcBorders>
            <w:shd w:val="clear" w:color="auto" w:fill="auto"/>
            <w:noWrap/>
            <w:vAlign w:val="center"/>
            <w:hideMark/>
          </w:tcPr>
          <w:p w14:paraId="7AC4F574"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M</w:t>
            </w:r>
          </w:p>
        </w:tc>
        <w:tc>
          <w:tcPr>
            <w:tcW w:w="0" w:type="auto"/>
            <w:tcBorders>
              <w:top w:val="nil"/>
              <w:left w:val="nil"/>
              <w:bottom w:val="single" w:sz="4" w:space="0" w:color="auto"/>
              <w:right w:val="single" w:sz="4" w:space="0" w:color="auto"/>
            </w:tcBorders>
            <w:shd w:val="clear" w:color="auto" w:fill="auto"/>
            <w:noWrap/>
            <w:vAlign w:val="bottom"/>
            <w:hideMark/>
          </w:tcPr>
          <w:p w14:paraId="71096849"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18</w:t>
            </w:r>
          </w:p>
        </w:tc>
        <w:tc>
          <w:tcPr>
            <w:tcW w:w="0" w:type="auto"/>
            <w:tcBorders>
              <w:top w:val="nil"/>
              <w:left w:val="nil"/>
              <w:bottom w:val="single" w:sz="4" w:space="0" w:color="auto"/>
              <w:right w:val="single" w:sz="4" w:space="0" w:color="auto"/>
            </w:tcBorders>
            <w:shd w:val="clear" w:color="auto" w:fill="auto"/>
            <w:noWrap/>
            <w:vAlign w:val="bottom"/>
            <w:hideMark/>
          </w:tcPr>
          <w:p w14:paraId="10F2B02F"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334</w:t>
            </w:r>
          </w:p>
        </w:tc>
        <w:tc>
          <w:tcPr>
            <w:tcW w:w="0" w:type="auto"/>
            <w:tcBorders>
              <w:top w:val="nil"/>
              <w:left w:val="nil"/>
              <w:bottom w:val="single" w:sz="4" w:space="0" w:color="auto"/>
              <w:right w:val="single" w:sz="4" w:space="0" w:color="auto"/>
            </w:tcBorders>
            <w:shd w:val="clear" w:color="auto" w:fill="auto"/>
            <w:noWrap/>
            <w:vAlign w:val="center"/>
            <w:hideMark/>
          </w:tcPr>
          <w:p w14:paraId="495DB1B2"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503</w:t>
            </w:r>
          </w:p>
        </w:tc>
        <w:tc>
          <w:tcPr>
            <w:tcW w:w="0" w:type="auto"/>
            <w:tcBorders>
              <w:top w:val="nil"/>
              <w:left w:val="nil"/>
              <w:bottom w:val="single" w:sz="4" w:space="0" w:color="auto"/>
              <w:right w:val="single" w:sz="4" w:space="0" w:color="auto"/>
            </w:tcBorders>
            <w:shd w:val="clear" w:color="auto" w:fill="auto"/>
            <w:noWrap/>
            <w:vAlign w:val="center"/>
            <w:hideMark/>
          </w:tcPr>
          <w:p w14:paraId="2A76E377"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855</w:t>
            </w:r>
          </w:p>
        </w:tc>
      </w:tr>
      <w:tr w:rsidR="00764FA6" w:rsidRPr="002D532C" w14:paraId="57FFAADC" w14:textId="77777777" w:rsidTr="00E65D54">
        <w:trPr>
          <w:trHeight w:val="20"/>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A1BF4DE"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ENGATIVA</w:t>
            </w:r>
          </w:p>
        </w:tc>
        <w:tc>
          <w:tcPr>
            <w:tcW w:w="0" w:type="auto"/>
            <w:tcBorders>
              <w:top w:val="nil"/>
              <w:left w:val="nil"/>
              <w:bottom w:val="single" w:sz="4" w:space="0" w:color="auto"/>
              <w:right w:val="single" w:sz="4" w:space="0" w:color="auto"/>
            </w:tcBorders>
            <w:shd w:val="clear" w:color="auto" w:fill="auto"/>
            <w:noWrap/>
            <w:vAlign w:val="center"/>
            <w:hideMark/>
          </w:tcPr>
          <w:p w14:paraId="1D8DE050"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F</w:t>
            </w:r>
          </w:p>
        </w:tc>
        <w:tc>
          <w:tcPr>
            <w:tcW w:w="0" w:type="auto"/>
            <w:tcBorders>
              <w:top w:val="nil"/>
              <w:left w:val="nil"/>
              <w:bottom w:val="single" w:sz="4" w:space="0" w:color="auto"/>
              <w:right w:val="single" w:sz="4" w:space="0" w:color="auto"/>
            </w:tcBorders>
            <w:shd w:val="clear" w:color="auto" w:fill="auto"/>
            <w:noWrap/>
            <w:vAlign w:val="bottom"/>
            <w:hideMark/>
          </w:tcPr>
          <w:p w14:paraId="66E313AF"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17</w:t>
            </w:r>
          </w:p>
        </w:tc>
        <w:tc>
          <w:tcPr>
            <w:tcW w:w="0" w:type="auto"/>
            <w:tcBorders>
              <w:top w:val="nil"/>
              <w:left w:val="nil"/>
              <w:bottom w:val="single" w:sz="4" w:space="0" w:color="auto"/>
              <w:right w:val="single" w:sz="4" w:space="0" w:color="auto"/>
            </w:tcBorders>
            <w:shd w:val="clear" w:color="auto" w:fill="auto"/>
            <w:noWrap/>
            <w:vAlign w:val="bottom"/>
            <w:hideMark/>
          </w:tcPr>
          <w:p w14:paraId="30770A60"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39</w:t>
            </w:r>
          </w:p>
        </w:tc>
        <w:tc>
          <w:tcPr>
            <w:tcW w:w="0" w:type="auto"/>
            <w:tcBorders>
              <w:top w:val="nil"/>
              <w:left w:val="nil"/>
              <w:bottom w:val="single" w:sz="4" w:space="0" w:color="auto"/>
              <w:right w:val="single" w:sz="4" w:space="0" w:color="auto"/>
            </w:tcBorders>
            <w:shd w:val="clear" w:color="auto" w:fill="auto"/>
            <w:noWrap/>
            <w:vAlign w:val="center"/>
            <w:hideMark/>
          </w:tcPr>
          <w:p w14:paraId="61D5CAA2"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105</w:t>
            </w:r>
          </w:p>
        </w:tc>
        <w:tc>
          <w:tcPr>
            <w:tcW w:w="0" w:type="auto"/>
            <w:tcBorders>
              <w:top w:val="nil"/>
              <w:left w:val="nil"/>
              <w:bottom w:val="single" w:sz="4" w:space="0" w:color="auto"/>
              <w:right w:val="single" w:sz="4" w:space="0" w:color="auto"/>
            </w:tcBorders>
            <w:shd w:val="clear" w:color="auto" w:fill="auto"/>
            <w:noWrap/>
            <w:vAlign w:val="center"/>
            <w:hideMark/>
          </w:tcPr>
          <w:p w14:paraId="61CB86CF"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161</w:t>
            </w:r>
          </w:p>
        </w:tc>
      </w:tr>
      <w:tr w:rsidR="00764FA6" w:rsidRPr="002D532C" w14:paraId="46644D1A" w14:textId="77777777" w:rsidTr="00E65D54">
        <w:trPr>
          <w:trHeight w:val="20"/>
          <w:jc w:val="center"/>
        </w:trPr>
        <w:tc>
          <w:tcPr>
            <w:tcW w:w="0" w:type="auto"/>
            <w:vMerge/>
            <w:tcBorders>
              <w:top w:val="nil"/>
              <w:left w:val="single" w:sz="4" w:space="0" w:color="auto"/>
              <w:bottom w:val="single" w:sz="4" w:space="0" w:color="auto"/>
              <w:right w:val="single" w:sz="4" w:space="0" w:color="auto"/>
            </w:tcBorders>
            <w:vAlign w:val="center"/>
            <w:hideMark/>
          </w:tcPr>
          <w:p w14:paraId="064A96D6"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p>
        </w:tc>
        <w:tc>
          <w:tcPr>
            <w:tcW w:w="0" w:type="auto"/>
            <w:tcBorders>
              <w:top w:val="nil"/>
              <w:left w:val="nil"/>
              <w:bottom w:val="single" w:sz="4" w:space="0" w:color="auto"/>
              <w:right w:val="single" w:sz="4" w:space="0" w:color="auto"/>
            </w:tcBorders>
            <w:shd w:val="clear" w:color="auto" w:fill="auto"/>
            <w:noWrap/>
            <w:vAlign w:val="center"/>
            <w:hideMark/>
          </w:tcPr>
          <w:p w14:paraId="76894C35"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M</w:t>
            </w:r>
          </w:p>
        </w:tc>
        <w:tc>
          <w:tcPr>
            <w:tcW w:w="0" w:type="auto"/>
            <w:tcBorders>
              <w:top w:val="nil"/>
              <w:left w:val="nil"/>
              <w:bottom w:val="single" w:sz="4" w:space="0" w:color="auto"/>
              <w:right w:val="single" w:sz="4" w:space="0" w:color="auto"/>
            </w:tcBorders>
            <w:shd w:val="clear" w:color="auto" w:fill="auto"/>
            <w:noWrap/>
            <w:vAlign w:val="bottom"/>
            <w:hideMark/>
          </w:tcPr>
          <w:p w14:paraId="0C3D7D80"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43</w:t>
            </w:r>
          </w:p>
        </w:tc>
        <w:tc>
          <w:tcPr>
            <w:tcW w:w="0" w:type="auto"/>
            <w:tcBorders>
              <w:top w:val="nil"/>
              <w:left w:val="nil"/>
              <w:bottom w:val="single" w:sz="4" w:space="0" w:color="auto"/>
              <w:right w:val="single" w:sz="4" w:space="0" w:color="auto"/>
            </w:tcBorders>
            <w:shd w:val="clear" w:color="auto" w:fill="auto"/>
            <w:noWrap/>
            <w:vAlign w:val="bottom"/>
            <w:hideMark/>
          </w:tcPr>
          <w:p w14:paraId="2E044EE0"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843</w:t>
            </w:r>
          </w:p>
        </w:tc>
        <w:tc>
          <w:tcPr>
            <w:tcW w:w="0" w:type="auto"/>
            <w:tcBorders>
              <w:top w:val="nil"/>
              <w:left w:val="nil"/>
              <w:bottom w:val="single" w:sz="4" w:space="0" w:color="auto"/>
              <w:right w:val="single" w:sz="4" w:space="0" w:color="auto"/>
            </w:tcBorders>
            <w:shd w:val="clear" w:color="auto" w:fill="auto"/>
            <w:noWrap/>
            <w:vAlign w:val="center"/>
            <w:hideMark/>
          </w:tcPr>
          <w:p w14:paraId="7652A3C4"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925</w:t>
            </w:r>
          </w:p>
        </w:tc>
        <w:tc>
          <w:tcPr>
            <w:tcW w:w="0" w:type="auto"/>
            <w:tcBorders>
              <w:top w:val="nil"/>
              <w:left w:val="nil"/>
              <w:bottom w:val="single" w:sz="4" w:space="0" w:color="auto"/>
              <w:right w:val="single" w:sz="4" w:space="0" w:color="auto"/>
            </w:tcBorders>
            <w:shd w:val="clear" w:color="auto" w:fill="auto"/>
            <w:noWrap/>
            <w:vAlign w:val="center"/>
            <w:hideMark/>
          </w:tcPr>
          <w:p w14:paraId="5B617F7A"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1811</w:t>
            </w:r>
          </w:p>
        </w:tc>
      </w:tr>
      <w:tr w:rsidR="00764FA6" w:rsidRPr="002D532C" w14:paraId="4B7F1A9E" w14:textId="77777777" w:rsidTr="00E65D54">
        <w:trPr>
          <w:trHeight w:val="20"/>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0EEB9DC"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SUBA</w:t>
            </w:r>
          </w:p>
        </w:tc>
        <w:tc>
          <w:tcPr>
            <w:tcW w:w="0" w:type="auto"/>
            <w:tcBorders>
              <w:top w:val="nil"/>
              <w:left w:val="nil"/>
              <w:bottom w:val="single" w:sz="4" w:space="0" w:color="auto"/>
              <w:right w:val="single" w:sz="4" w:space="0" w:color="auto"/>
            </w:tcBorders>
            <w:shd w:val="clear" w:color="auto" w:fill="auto"/>
            <w:noWrap/>
            <w:vAlign w:val="center"/>
            <w:hideMark/>
          </w:tcPr>
          <w:p w14:paraId="315CF77A"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F</w:t>
            </w:r>
          </w:p>
        </w:tc>
        <w:tc>
          <w:tcPr>
            <w:tcW w:w="0" w:type="auto"/>
            <w:tcBorders>
              <w:top w:val="nil"/>
              <w:left w:val="nil"/>
              <w:bottom w:val="single" w:sz="4" w:space="0" w:color="auto"/>
              <w:right w:val="single" w:sz="4" w:space="0" w:color="auto"/>
            </w:tcBorders>
            <w:shd w:val="clear" w:color="auto" w:fill="auto"/>
            <w:noWrap/>
            <w:vAlign w:val="bottom"/>
            <w:hideMark/>
          </w:tcPr>
          <w:p w14:paraId="568ED2E5"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8</w:t>
            </w:r>
          </w:p>
        </w:tc>
        <w:tc>
          <w:tcPr>
            <w:tcW w:w="0" w:type="auto"/>
            <w:tcBorders>
              <w:top w:val="nil"/>
              <w:left w:val="nil"/>
              <w:bottom w:val="single" w:sz="4" w:space="0" w:color="auto"/>
              <w:right w:val="single" w:sz="4" w:space="0" w:color="auto"/>
            </w:tcBorders>
            <w:shd w:val="clear" w:color="auto" w:fill="auto"/>
            <w:noWrap/>
            <w:vAlign w:val="bottom"/>
            <w:hideMark/>
          </w:tcPr>
          <w:p w14:paraId="403D7149"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67</w:t>
            </w:r>
          </w:p>
        </w:tc>
        <w:tc>
          <w:tcPr>
            <w:tcW w:w="0" w:type="auto"/>
            <w:tcBorders>
              <w:top w:val="nil"/>
              <w:left w:val="nil"/>
              <w:bottom w:val="single" w:sz="4" w:space="0" w:color="auto"/>
              <w:right w:val="single" w:sz="4" w:space="0" w:color="auto"/>
            </w:tcBorders>
            <w:shd w:val="clear" w:color="auto" w:fill="auto"/>
            <w:noWrap/>
            <w:vAlign w:val="center"/>
            <w:hideMark/>
          </w:tcPr>
          <w:p w14:paraId="102FCC0C"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173</w:t>
            </w:r>
          </w:p>
        </w:tc>
        <w:tc>
          <w:tcPr>
            <w:tcW w:w="0" w:type="auto"/>
            <w:tcBorders>
              <w:top w:val="nil"/>
              <w:left w:val="nil"/>
              <w:bottom w:val="single" w:sz="4" w:space="0" w:color="auto"/>
              <w:right w:val="single" w:sz="4" w:space="0" w:color="auto"/>
            </w:tcBorders>
            <w:shd w:val="clear" w:color="auto" w:fill="auto"/>
            <w:noWrap/>
            <w:vAlign w:val="center"/>
            <w:hideMark/>
          </w:tcPr>
          <w:p w14:paraId="14B3A9A0"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248</w:t>
            </w:r>
          </w:p>
        </w:tc>
      </w:tr>
      <w:tr w:rsidR="00764FA6" w:rsidRPr="002D532C" w14:paraId="18A780D0" w14:textId="77777777" w:rsidTr="00E65D54">
        <w:trPr>
          <w:trHeight w:val="20"/>
          <w:jc w:val="center"/>
        </w:trPr>
        <w:tc>
          <w:tcPr>
            <w:tcW w:w="0" w:type="auto"/>
            <w:vMerge/>
            <w:tcBorders>
              <w:top w:val="nil"/>
              <w:left w:val="single" w:sz="4" w:space="0" w:color="auto"/>
              <w:bottom w:val="single" w:sz="4" w:space="0" w:color="auto"/>
              <w:right w:val="single" w:sz="4" w:space="0" w:color="auto"/>
            </w:tcBorders>
            <w:vAlign w:val="center"/>
            <w:hideMark/>
          </w:tcPr>
          <w:p w14:paraId="662D01C7"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p>
        </w:tc>
        <w:tc>
          <w:tcPr>
            <w:tcW w:w="0" w:type="auto"/>
            <w:tcBorders>
              <w:top w:val="nil"/>
              <w:left w:val="nil"/>
              <w:bottom w:val="single" w:sz="4" w:space="0" w:color="auto"/>
              <w:right w:val="single" w:sz="4" w:space="0" w:color="auto"/>
            </w:tcBorders>
            <w:shd w:val="clear" w:color="auto" w:fill="auto"/>
            <w:noWrap/>
            <w:vAlign w:val="center"/>
            <w:hideMark/>
          </w:tcPr>
          <w:p w14:paraId="67AA1C16"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M</w:t>
            </w:r>
          </w:p>
        </w:tc>
        <w:tc>
          <w:tcPr>
            <w:tcW w:w="0" w:type="auto"/>
            <w:tcBorders>
              <w:top w:val="nil"/>
              <w:left w:val="nil"/>
              <w:bottom w:val="single" w:sz="4" w:space="0" w:color="auto"/>
              <w:right w:val="single" w:sz="4" w:space="0" w:color="auto"/>
            </w:tcBorders>
            <w:shd w:val="clear" w:color="auto" w:fill="auto"/>
            <w:noWrap/>
            <w:vAlign w:val="bottom"/>
            <w:hideMark/>
          </w:tcPr>
          <w:p w14:paraId="04046E4F"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56</w:t>
            </w:r>
          </w:p>
        </w:tc>
        <w:tc>
          <w:tcPr>
            <w:tcW w:w="0" w:type="auto"/>
            <w:tcBorders>
              <w:top w:val="nil"/>
              <w:left w:val="nil"/>
              <w:bottom w:val="single" w:sz="4" w:space="0" w:color="auto"/>
              <w:right w:val="single" w:sz="4" w:space="0" w:color="auto"/>
            </w:tcBorders>
            <w:shd w:val="clear" w:color="auto" w:fill="auto"/>
            <w:noWrap/>
            <w:vAlign w:val="bottom"/>
            <w:hideMark/>
          </w:tcPr>
          <w:p w14:paraId="390878E8"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1152</w:t>
            </w:r>
          </w:p>
        </w:tc>
        <w:tc>
          <w:tcPr>
            <w:tcW w:w="0" w:type="auto"/>
            <w:tcBorders>
              <w:top w:val="nil"/>
              <w:left w:val="nil"/>
              <w:bottom w:val="single" w:sz="4" w:space="0" w:color="auto"/>
              <w:right w:val="single" w:sz="4" w:space="0" w:color="auto"/>
            </w:tcBorders>
            <w:shd w:val="clear" w:color="auto" w:fill="auto"/>
            <w:noWrap/>
            <w:vAlign w:val="center"/>
            <w:hideMark/>
          </w:tcPr>
          <w:p w14:paraId="15133C91"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1361</w:t>
            </w:r>
          </w:p>
        </w:tc>
        <w:tc>
          <w:tcPr>
            <w:tcW w:w="0" w:type="auto"/>
            <w:tcBorders>
              <w:top w:val="nil"/>
              <w:left w:val="nil"/>
              <w:bottom w:val="single" w:sz="4" w:space="0" w:color="auto"/>
              <w:right w:val="single" w:sz="4" w:space="0" w:color="auto"/>
            </w:tcBorders>
            <w:shd w:val="clear" w:color="auto" w:fill="auto"/>
            <w:noWrap/>
            <w:vAlign w:val="center"/>
            <w:hideMark/>
          </w:tcPr>
          <w:p w14:paraId="1E0749D0"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2569</w:t>
            </w:r>
          </w:p>
        </w:tc>
      </w:tr>
      <w:tr w:rsidR="00764FA6" w:rsidRPr="002D532C" w14:paraId="44AEC912" w14:textId="77777777" w:rsidTr="00E65D54">
        <w:trPr>
          <w:trHeight w:val="2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D0573A4"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TEUSAQUILLO</w:t>
            </w:r>
          </w:p>
        </w:tc>
        <w:tc>
          <w:tcPr>
            <w:tcW w:w="0" w:type="auto"/>
            <w:tcBorders>
              <w:top w:val="nil"/>
              <w:left w:val="nil"/>
              <w:bottom w:val="single" w:sz="4" w:space="0" w:color="auto"/>
              <w:right w:val="single" w:sz="4" w:space="0" w:color="auto"/>
            </w:tcBorders>
            <w:shd w:val="clear" w:color="auto" w:fill="auto"/>
            <w:noWrap/>
            <w:vAlign w:val="center"/>
            <w:hideMark/>
          </w:tcPr>
          <w:p w14:paraId="053250BE"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F</w:t>
            </w:r>
          </w:p>
        </w:tc>
        <w:tc>
          <w:tcPr>
            <w:tcW w:w="0" w:type="auto"/>
            <w:tcBorders>
              <w:top w:val="nil"/>
              <w:left w:val="nil"/>
              <w:bottom w:val="single" w:sz="4" w:space="0" w:color="auto"/>
              <w:right w:val="single" w:sz="4" w:space="0" w:color="auto"/>
            </w:tcBorders>
            <w:shd w:val="clear" w:color="auto" w:fill="auto"/>
            <w:noWrap/>
            <w:vAlign w:val="center"/>
            <w:hideMark/>
          </w:tcPr>
          <w:p w14:paraId="76504DBB"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3</w:t>
            </w:r>
          </w:p>
        </w:tc>
        <w:tc>
          <w:tcPr>
            <w:tcW w:w="0" w:type="auto"/>
            <w:tcBorders>
              <w:top w:val="nil"/>
              <w:left w:val="nil"/>
              <w:bottom w:val="single" w:sz="4" w:space="0" w:color="auto"/>
              <w:right w:val="single" w:sz="4" w:space="0" w:color="auto"/>
            </w:tcBorders>
            <w:shd w:val="clear" w:color="auto" w:fill="auto"/>
            <w:noWrap/>
            <w:vAlign w:val="center"/>
            <w:hideMark/>
          </w:tcPr>
          <w:p w14:paraId="01C2EE6E"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11</w:t>
            </w:r>
          </w:p>
        </w:tc>
        <w:tc>
          <w:tcPr>
            <w:tcW w:w="0" w:type="auto"/>
            <w:tcBorders>
              <w:top w:val="nil"/>
              <w:left w:val="nil"/>
              <w:bottom w:val="single" w:sz="4" w:space="0" w:color="auto"/>
              <w:right w:val="single" w:sz="4" w:space="0" w:color="auto"/>
            </w:tcBorders>
            <w:shd w:val="clear" w:color="auto" w:fill="auto"/>
            <w:noWrap/>
            <w:vAlign w:val="center"/>
            <w:hideMark/>
          </w:tcPr>
          <w:p w14:paraId="2E41B03A"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30</w:t>
            </w:r>
          </w:p>
        </w:tc>
        <w:tc>
          <w:tcPr>
            <w:tcW w:w="0" w:type="auto"/>
            <w:tcBorders>
              <w:top w:val="nil"/>
              <w:left w:val="nil"/>
              <w:bottom w:val="single" w:sz="4" w:space="0" w:color="auto"/>
              <w:right w:val="single" w:sz="4" w:space="0" w:color="auto"/>
            </w:tcBorders>
            <w:shd w:val="clear" w:color="auto" w:fill="auto"/>
            <w:noWrap/>
            <w:vAlign w:val="center"/>
            <w:hideMark/>
          </w:tcPr>
          <w:p w14:paraId="291278BE"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44</w:t>
            </w:r>
          </w:p>
        </w:tc>
      </w:tr>
      <w:tr w:rsidR="00764FA6" w:rsidRPr="002D532C" w14:paraId="06E22726" w14:textId="77777777" w:rsidTr="00E65D54">
        <w:trPr>
          <w:trHeight w:val="20"/>
          <w:jc w:val="center"/>
        </w:trPr>
        <w:tc>
          <w:tcPr>
            <w:tcW w:w="0" w:type="auto"/>
            <w:vMerge/>
            <w:tcBorders>
              <w:top w:val="nil"/>
              <w:left w:val="single" w:sz="4" w:space="0" w:color="auto"/>
              <w:bottom w:val="single" w:sz="4" w:space="0" w:color="000000"/>
              <w:right w:val="single" w:sz="4" w:space="0" w:color="auto"/>
            </w:tcBorders>
            <w:vAlign w:val="center"/>
            <w:hideMark/>
          </w:tcPr>
          <w:p w14:paraId="00648C4A"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p>
        </w:tc>
        <w:tc>
          <w:tcPr>
            <w:tcW w:w="0" w:type="auto"/>
            <w:tcBorders>
              <w:top w:val="nil"/>
              <w:left w:val="nil"/>
              <w:bottom w:val="single" w:sz="4" w:space="0" w:color="auto"/>
              <w:right w:val="single" w:sz="4" w:space="0" w:color="auto"/>
            </w:tcBorders>
            <w:shd w:val="clear" w:color="auto" w:fill="auto"/>
            <w:noWrap/>
            <w:vAlign w:val="center"/>
            <w:hideMark/>
          </w:tcPr>
          <w:p w14:paraId="2C6690B5"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M</w:t>
            </w:r>
          </w:p>
        </w:tc>
        <w:tc>
          <w:tcPr>
            <w:tcW w:w="0" w:type="auto"/>
            <w:tcBorders>
              <w:top w:val="nil"/>
              <w:left w:val="nil"/>
              <w:bottom w:val="single" w:sz="4" w:space="0" w:color="auto"/>
              <w:right w:val="single" w:sz="4" w:space="0" w:color="auto"/>
            </w:tcBorders>
            <w:shd w:val="clear" w:color="auto" w:fill="auto"/>
            <w:noWrap/>
            <w:vAlign w:val="center"/>
            <w:hideMark/>
          </w:tcPr>
          <w:p w14:paraId="75CA2E78"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21</w:t>
            </w:r>
          </w:p>
        </w:tc>
        <w:tc>
          <w:tcPr>
            <w:tcW w:w="0" w:type="auto"/>
            <w:tcBorders>
              <w:top w:val="nil"/>
              <w:left w:val="nil"/>
              <w:bottom w:val="single" w:sz="4" w:space="0" w:color="auto"/>
              <w:right w:val="single" w:sz="4" w:space="0" w:color="auto"/>
            </w:tcBorders>
            <w:shd w:val="clear" w:color="auto" w:fill="auto"/>
            <w:noWrap/>
            <w:vAlign w:val="center"/>
            <w:hideMark/>
          </w:tcPr>
          <w:p w14:paraId="68659B17"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320</w:t>
            </w:r>
          </w:p>
        </w:tc>
        <w:tc>
          <w:tcPr>
            <w:tcW w:w="0" w:type="auto"/>
            <w:tcBorders>
              <w:top w:val="nil"/>
              <w:left w:val="nil"/>
              <w:bottom w:val="single" w:sz="4" w:space="0" w:color="auto"/>
              <w:right w:val="single" w:sz="4" w:space="0" w:color="auto"/>
            </w:tcBorders>
            <w:shd w:val="clear" w:color="auto" w:fill="auto"/>
            <w:noWrap/>
            <w:vAlign w:val="center"/>
            <w:hideMark/>
          </w:tcPr>
          <w:p w14:paraId="1CFBB7F8"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396</w:t>
            </w:r>
          </w:p>
        </w:tc>
        <w:tc>
          <w:tcPr>
            <w:tcW w:w="0" w:type="auto"/>
            <w:tcBorders>
              <w:top w:val="nil"/>
              <w:left w:val="nil"/>
              <w:bottom w:val="single" w:sz="4" w:space="0" w:color="auto"/>
              <w:right w:val="single" w:sz="4" w:space="0" w:color="auto"/>
            </w:tcBorders>
            <w:shd w:val="clear" w:color="auto" w:fill="auto"/>
            <w:noWrap/>
            <w:vAlign w:val="center"/>
            <w:hideMark/>
          </w:tcPr>
          <w:p w14:paraId="7FCD6D2C"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737</w:t>
            </w:r>
          </w:p>
        </w:tc>
      </w:tr>
      <w:tr w:rsidR="00764FA6" w:rsidRPr="002D532C" w14:paraId="308C42CE" w14:textId="77777777" w:rsidTr="00E65D54">
        <w:trPr>
          <w:trHeight w:val="2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D04A184"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USAQUEN</w:t>
            </w:r>
          </w:p>
        </w:tc>
        <w:tc>
          <w:tcPr>
            <w:tcW w:w="0" w:type="auto"/>
            <w:tcBorders>
              <w:top w:val="nil"/>
              <w:left w:val="nil"/>
              <w:bottom w:val="single" w:sz="4" w:space="0" w:color="auto"/>
              <w:right w:val="single" w:sz="4" w:space="0" w:color="auto"/>
            </w:tcBorders>
            <w:shd w:val="clear" w:color="auto" w:fill="auto"/>
            <w:noWrap/>
            <w:vAlign w:val="center"/>
            <w:hideMark/>
          </w:tcPr>
          <w:p w14:paraId="25B50E16"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F</w:t>
            </w:r>
          </w:p>
        </w:tc>
        <w:tc>
          <w:tcPr>
            <w:tcW w:w="0" w:type="auto"/>
            <w:tcBorders>
              <w:top w:val="nil"/>
              <w:left w:val="nil"/>
              <w:bottom w:val="single" w:sz="4" w:space="0" w:color="auto"/>
              <w:right w:val="single" w:sz="4" w:space="0" w:color="auto"/>
            </w:tcBorders>
            <w:shd w:val="clear" w:color="auto" w:fill="auto"/>
            <w:noWrap/>
            <w:vAlign w:val="center"/>
            <w:hideMark/>
          </w:tcPr>
          <w:p w14:paraId="2DEA2042"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9</w:t>
            </w:r>
          </w:p>
        </w:tc>
        <w:tc>
          <w:tcPr>
            <w:tcW w:w="0" w:type="auto"/>
            <w:tcBorders>
              <w:top w:val="nil"/>
              <w:left w:val="nil"/>
              <w:bottom w:val="single" w:sz="4" w:space="0" w:color="auto"/>
              <w:right w:val="single" w:sz="4" w:space="0" w:color="auto"/>
            </w:tcBorders>
            <w:shd w:val="clear" w:color="auto" w:fill="auto"/>
            <w:noWrap/>
            <w:vAlign w:val="center"/>
            <w:hideMark/>
          </w:tcPr>
          <w:p w14:paraId="09E45BA5"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35</w:t>
            </w:r>
          </w:p>
        </w:tc>
        <w:tc>
          <w:tcPr>
            <w:tcW w:w="0" w:type="auto"/>
            <w:tcBorders>
              <w:top w:val="nil"/>
              <w:left w:val="nil"/>
              <w:bottom w:val="single" w:sz="4" w:space="0" w:color="auto"/>
              <w:right w:val="single" w:sz="4" w:space="0" w:color="auto"/>
            </w:tcBorders>
            <w:shd w:val="clear" w:color="auto" w:fill="auto"/>
            <w:noWrap/>
            <w:vAlign w:val="center"/>
            <w:hideMark/>
          </w:tcPr>
          <w:p w14:paraId="189C905A"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60</w:t>
            </w:r>
          </w:p>
        </w:tc>
        <w:tc>
          <w:tcPr>
            <w:tcW w:w="0" w:type="auto"/>
            <w:tcBorders>
              <w:top w:val="nil"/>
              <w:left w:val="nil"/>
              <w:bottom w:val="single" w:sz="4" w:space="0" w:color="auto"/>
              <w:right w:val="single" w:sz="4" w:space="0" w:color="auto"/>
            </w:tcBorders>
            <w:shd w:val="clear" w:color="auto" w:fill="auto"/>
            <w:noWrap/>
            <w:vAlign w:val="center"/>
            <w:hideMark/>
          </w:tcPr>
          <w:p w14:paraId="495A8424"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104</w:t>
            </w:r>
          </w:p>
        </w:tc>
      </w:tr>
      <w:tr w:rsidR="00764FA6" w:rsidRPr="002D532C" w14:paraId="5AA21374" w14:textId="77777777" w:rsidTr="00E65D54">
        <w:trPr>
          <w:trHeight w:val="20"/>
          <w:jc w:val="center"/>
        </w:trPr>
        <w:tc>
          <w:tcPr>
            <w:tcW w:w="0" w:type="auto"/>
            <w:vMerge/>
            <w:tcBorders>
              <w:top w:val="nil"/>
              <w:left w:val="single" w:sz="4" w:space="0" w:color="auto"/>
              <w:bottom w:val="single" w:sz="4" w:space="0" w:color="000000"/>
              <w:right w:val="single" w:sz="4" w:space="0" w:color="auto"/>
            </w:tcBorders>
            <w:vAlign w:val="center"/>
            <w:hideMark/>
          </w:tcPr>
          <w:p w14:paraId="0FEB97A1"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p>
        </w:tc>
        <w:tc>
          <w:tcPr>
            <w:tcW w:w="0" w:type="auto"/>
            <w:tcBorders>
              <w:top w:val="nil"/>
              <w:left w:val="nil"/>
              <w:bottom w:val="single" w:sz="4" w:space="0" w:color="auto"/>
              <w:right w:val="single" w:sz="4" w:space="0" w:color="auto"/>
            </w:tcBorders>
            <w:shd w:val="clear" w:color="auto" w:fill="auto"/>
            <w:noWrap/>
            <w:vAlign w:val="center"/>
            <w:hideMark/>
          </w:tcPr>
          <w:p w14:paraId="5C24B734"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M</w:t>
            </w:r>
          </w:p>
        </w:tc>
        <w:tc>
          <w:tcPr>
            <w:tcW w:w="0" w:type="auto"/>
            <w:tcBorders>
              <w:top w:val="nil"/>
              <w:left w:val="nil"/>
              <w:bottom w:val="single" w:sz="4" w:space="0" w:color="auto"/>
              <w:right w:val="single" w:sz="4" w:space="0" w:color="auto"/>
            </w:tcBorders>
            <w:shd w:val="clear" w:color="auto" w:fill="auto"/>
            <w:noWrap/>
            <w:vAlign w:val="center"/>
            <w:hideMark/>
          </w:tcPr>
          <w:p w14:paraId="07953D2E"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19</w:t>
            </w:r>
          </w:p>
        </w:tc>
        <w:tc>
          <w:tcPr>
            <w:tcW w:w="0" w:type="auto"/>
            <w:tcBorders>
              <w:top w:val="nil"/>
              <w:left w:val="nil"/>
              <w:bottom w:val="single" w:sz="4" w:space="0" w:color="auto"/>
              <w:right w:val="single" w:sz="4" w:space="0" w:color="auto"/>
            </w:tcBorders>
            <w:shd w:val="clear" w:color="auto" w:fill="auto"/>
            <w:noWrap/>
            <w:vAlign w:val="center"/>
            <w:hideMark/>
          </w:tcPr>
          <w:p w14:paraId="0358C7C9"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430</w:t>
            </w:r>
          </w:p>
        </w:tc>
        <w:tc>
          <w:tcPr>
            <w:tcW w:w="0" w:type="auto"/>
            <w:tcBorders>
              <w:top w:val="nil"/>
              <w:left w:val="nil"/>
              <w:bottom w:val="single" w:sz="4" w:space="0" w:color="auto"/>
              <w:right w:val="single" w:sz="4" w:space="0" w:color="auto"/>
            </w:tcBorders>
            <w:shd w:val="clear" w:color="auto" w:fill="auto"/>
            <w:noWrap/>
            <w:vAlign w:val="center"/>
            <w:hideMark/>
          </w:tcPr>
          <w:p w14:paraId="7FF514BA"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562</w:t>
            </w:r>
          </w:p>
        </w:tc>
        <w:tc>
          <w:tcPr>
            <w:tcW w:w="0" w:type="auto"/>
            <w:tcBorders>
              <w:top w:val="nil"/>
              <w:left w:val="nil"/>
              <w:bottom w:val="single" w:sz="4" w:space="0" w:color="auto"/>
              <w:right w:val="single" w:sz="4" w:space="0" w:color="auto"/>
            </w:tcBorders>
            <w:shd w:val="clear" w:color="auto" w:fill="auto"/>
            <w:noWrap/>
            <w:vAlign w:val="center"/>
            <w:hideMark/>
          </w:tcPr>
          <w:p w14:paraId="782911F0" w14:textId="77777777" w:rsidR="00764FA6" w:rsidRPr="002D532C" w:rsidRDefault="00764FA6" w:rsidP="002D532C">
            <w:pPr>
              <w:spacing w:after="0" w:line="240" w:lineRule="auto"/>
              <w:jc w:val="both"/>
              <w:rPr>
                <w:rFonts w:ascii="Arial" w:eastAsia="Times New Roman" w:hAnsi="Arial" w:cs="Arial"/>
                <w:color w:val="000000"/>
                <w:sz w:val="20"/>
                <w:szCs w:val="20"/>
                <w:lang w:eastAsia="es-CO"/>
              </w:rPr>
            </w:pPr>
            <w:r w:rsidRPr="002D532C">
              <w:rPr>
                <w:rFonts w:ascii="Arial" w:eastAsia="Times New Roman" w:hAnsi="Arial" w:cs="Arial"/>
                <w:color w:val="000000"/>
                <w:sz w:val="20"/>
                <w:szCs w:val="20"/>
                <w:lang w:eastAsia="es-CO"/>
              </w:rPr>
              <w:t>1011</w:t>
            </w:r>
          </w:p>
        </w:tc>
      </w:tr>
    </w:tbl>
    <w:p w14:paraId="16D13F4E" w14:textId="77777777" w:rsidR="00764FA6" w:rsidRPr="002D532C" w:rsidRDefault="00764FA6" w:rsidP="002D532C">
      <w:pPr>
        <w:spacing w:line="259" w:lineRule="auto"/>
        <w:jc w:val="center"/>
        <w:rPr>
          <w:rFonts w:ascii="Arial" w:eastAsia="Calibri" w:hAnsi="Arial" w:cs="Arial"/>
        </w:rPr>
      </w:pPr>
      <w:r w:rsidRPr="002D532C">
        <w:rPr>
          <w:rFonts w:ascii="Arial" w:eastAsia="Calibri" w:hAnsi="Arial" w:cs="Arial"/>
          <w:b/>
        </w:rPr>
        <w:t>Fuente:</w:t>
      </w:r>
      <w:r w:rsidRPr="002D532C">
        <w:rPr>
          <w:rFonts w:ascii="Arial" w:eastAsia="Calibri" w:hAnsi="Arial" w:cs="Arial"/>
        </w:rPr>
        <w:t xml:space="preserve"> Bases SIVIGILA Consolidado 850, 2020-2024.</w:t>
      </w:r>
    </w:p>
    <w:p w14:paraId="71C16F6D" w14:textId="0F2F1F1D" w:rsidR="00DA12E7" w:rsidRPr="002D532C" w:rsidRDefault="00DA12E7" w:rsidP="002D532C">
      <w:pPr>
        <w:jc w:val="both"/>
        <w:rPr>
          <w:rFonts w:ascii="Arial" w:eastAsia="Calibri" w:hAnsi="Arial" w:cs="Arial"/>
          <w:bCs/>
        </w:rPr>
      </w:pPr>
      <w:r w:rsidRPr="002D532C">
        <w:rPr>
          <w:rFonts w:ascii="Arial" w:eastAsia="Calibri" w:hAnsi="Arial" w:cs="Arial"/>
          <w:bCs/>
        </w:rPr>
        <w:t>Dentro de la notificación del evento 850 (VIH), no es posible analizar la variable de estrato socioeconómico debido a la falta de datos específicos. No obstante, con base en el periodo analizado, se observa que:  El 54,2% de los casos notificados corresponden al ciclo de vida adultez. De estos, el 90,7% son hombres y el 9,3% son mujeres. El 43,3% de los casos se encuentran en el ciclo de vida juventud, con el 94,8% de los casos en hombres y el 5,2% en mujeres.</w:t>
      </w:r>
    </w:p>
    <w:p w14:paraId="4DF6062E" w14:textId="66924FC6" w:rsidR="00764FA6" w:rsidRPr="002D532C" w:rsidRDefault="00DA12E7" w:rsidP="002D532C">
      <w:pPr>
        <w:jc w:val="both"/>
        <w:rPr>
          <w:rFonts w:ascii="Arial" w:eastAsia="Times New Roman" w:hAnsi="Arial" w:cs="Arial"/>
          <w:b/>
          <w:bCs/>
          <w:color w:val="000000"/>
          <w:lang w:eastAsia="es-CO"/>
        </w:rPr>
      </w:pPr>
      <w:r w:rsidRPr="002D532C">
        <w:rPr>
          <w:rFonts w:ascii="Arial" w:eastAsia="Calibri" w:hAnsi="Arial" w:cs="Arial"/>
          <w:bCs/>
        </w:rPr>
        <w:t>En los otros grupos de edad, la distribución de casos mantiene una tendencia similar, con un 80,1% de los casos en hombres y el 19,9% en mujeres.</w:t>
      </w:r>
    </w:p>
    <w:p w14:paraId="0CA11867" w14:textId="47C374BE" w:rsidR="005B7EAE" w:rsidRPr="002D532C" w:rsidRDefault="005B7EAE" w:rsidP="002D532C">
      <w:pPr>
        <w:numPr>
          <w:ilvl w:val="0"/>
          <w:numId w:val="7"/>
        </w:numPr>
        <w:shd w:val="clear" w:color="auto" w:fill="FFFFFF"/>
        <w:spacing w:after="0" w:line="257" w:lineRule="atLeast"/>
        <w:ind w:left="426"/>
        <w:jc w:val="both"/>
        <w:rPr>
          <w:rFonts w:ascii="Arial" w:eastAsia="Times New Roman" w:hAnsi="Arial" w:cs="Arial"/>
          <w:color w:val="000000"/>
          <w:lang w:eastAsia="es-CO"/>
        </w:rPr>
      </w:pPr>
      <w:r w:rsidRPr="002D532C">
        <w:rPr>
          <w:rFonts w:ascii="Arial" w:eastAsia="Times New Roman" w:hAnsi="Arial" w:cs="Arial"/>
          <w:color w:val="000000"/>
          <w:lang w:eastAsia="es-CO"/>
        </w:rPr>
        <w:t xml:space="preserve">¿Cuál es la curva epidemiológica del VIH en Bogotá desde el año 2020 hasta diciembre 2024, incluyendo el número de casos que progresan a SIDA? </w:t>
      </w:r>
    </w:p>
    <w:p w14:paraId="07B37B08" w14:textId="77777777" w:rsidR="006322A3" w:rsidRPr="002D532C" w:rsidRDefault="006322A3" w:rsidP="002D532C">
      <w:pPr>
        <w:shd w:val="clear" w:color="auto" w:fill="FFFFFF"/>
        <w:spacing w:after="0" w:line="257" w:lineRule="atLeast"/>
        <w:ind w:left="66"/>
        <w:jc w:val="both"/>
        <w:rPr>
          <w:rFonts w:ascii="Arial" w:eastAsia="Times New Roman" w:hAnsi="Arial" w:cs="Arial"/>
          <w:color w:val="000000"/>
          <w:lang w:eastAsia="es-CO"/>
        </w:rPr>
      </w:pPr>
    </w:p>
    <w:p w14:paraId="0D782863" w14:textId="12BD9CDB" w:rsidR="006818FF" w:rsidRDefault="00945823" w:rsidP="002D532C">
      <w:pPr>
        <w:shd w:val="clear" w:color="auto" w:fill="FFFFFF"/>
        <w:spacing w:after="0" w:line="257" w:lineRule="atLeast"/>
        <w:ind w:left="66"/>
        <w:jc w:val="both"/>
        <w:rPr>
          <w:rFonts w:ascii="Arial" w:eastAsia="Times New Roman" w:hAnsi="Arial" w:cs="Arial"/>
          <w:b/>
          <w:bCs/>
          <w:color w:val="000000"/>
          <w:lang w:eastAsia="es-CO"/>
        </w:rPr>
      </w:pPr>
      <w:r w:rsidRPr="002D532C">
        <w:rPr>
          <w:rFonts w:ascii="Arial" w:eastAsia="Times New Roman" w:hAnsi="Arial" w:cs="Arial"/>
          <w:b/>
          <w:bCs/>
          <w:color w:val="000000"/>
          <w:lang w:eastAsia="es-CO"/>
        </w:rPr>
        <w:t>Respuesta</w:t>
      </w:r>
    </w:p>
    <w:p w14:paraId="0F372FFD" w14:textId="5338B9C0" w:rsidR="002D532C" w:rsidRDefault="002D532C" w:rsidP="002D532C">
      <w:pPr>
        <w:shd w:val="clear" w:color="auto" w:fill="FFFFFF"/>
        <w:spacing w:after="0" w:line="257" w:lineRule="atLeast"/>
        <w:ind w:left="66"/>
        <w:jc w:val="both"/>
        <w:rPr>
          <w:rFonts w:ascii="Arial" w:eastAsia="Times New Roman" w:hAnsi="Arial" w:cs="Arial"/>
          <w:b/>
          <w:bCs/>
          <w:color w:val="000000"/>
          <w:lang w:eastAsia="es-CO"/>
        </w:rPr>
      </w:pPr>
    </w:p>
    <w:p w14:paraId="423AE779" w14:textId="68CED5EF" w:rsidR="002D532C" w:rsidRDefault="002D532C" w:rsidP="002D532C">
      <w:pPr>
        <w:shd w:val="clear" w:color="auto" w:fill="FFFFFF"/>
        <w:spacing w:after="0" w:line="257" w:lineRule="atLeast"/>
        <w:ind w:left="66"/>
        <w:jc w:val="both"/>
        <w:rPr>
          <w:rFonts w:ascii="Arial" w:eastAsia="Times New Roman" w:hAnsi="Arial" w:cs="Arial"/>
          <w:b/>
          <w:bCs/>
          <w:color w:val="000000"/>
          <w:lang w:eastAsia="es-CO"/>
        </w:rPr>
      </w:pPr>
    </w:p>
    <w:p w14:paraId="61F22EE1" w14:textId="77777777" w:rsidR="002D532C" w:rsidRPr="002D532C" w:rsidRDefault="002D532C" w:rsidP="002D532C">
      <w:pPr>
        <w:shd w:val="clear" w:color="auto" w:fill="FFFFFF"/>
        <w:spacing w:after="0" w:line="257" w:lineRule="atLeast"/>
        <w:ind w:left="66"/>
        <w:jc w:val="both"/>
        <w:rPr>
          <w:rFonts w:ascii="Arial" w:eastAsia="Times New Roman" w:hAnsi="Arial" w:cs="Arial"/>
          <w:b/>
          <w:bCs/>
          <w:color w:val="000000"/>
          <w:lang w:eastAsia="es-CO"/>
        </w:rPr>
      </w:pPr>
    </w:p>
    <w:p w14:paraId="037AD930" w14:textId="77777777" w:rsidR="00CB75A6" w:rsidRPr="002D532C" w:rsidRDefault="00CB75A6" w:rsidP="002D532C">
      <w:pPr>
        <w:shd w:val="clear" w:color="auto" w:fill="FFFFFF"/>
        <w:spacing w:after="0" w:line="257" w:lineRule="atLeast"/>
        <w:ind w:left="66"/>
        <w:jc w:val="both"/>
        <w:rPr>
          <w:rFonts w:ascii="Arial" w:eastAsia="Times New Roman" w:hAnsi="Arial" w:cs="Arial"/>
          <w:b/>
          <w:bCs/>
          <w:color w:val="000000"/>
          <w:lang w:eastAsia="es-CO"/>
        </w:rPr>
      </w:pPr>
    </w:p>
    <w:p w14:paraId="17A7A8CF" w14:textId="5E340A33" w:rsidR="00945823" w:rsidRPr="002D532C" w:rsidRDefault="00945823" w:rsidP="002D532C">
      <w:pPr>
        <w:keepNext/>
        <w:spacing w:after="200" w:line="240" w:lineRule="auto"/>
        <w:jc w:val="center"/>
        <w:rPr>
          <w:rFonts w:ascii="Arial" w:eastAsia="Calibri" w:hAnsi="Arial" w:cs="Arial"/>
          <w:b/>
          <w:bCs/>
          <w:kern w:val="2"/>
          <w14:ligatures w14:val="standardContextual"/>
        </w:rPr>
      </w:pPr>
      <w:r w:rsidRPr="002D532C">
        <w:rPr>
          <w:rFonts w:ascii="Arial" w:eastAsia="Calibri" w:hAnsi="Arial" w:cs="Arial"/>
          <w:b/>
          <w:bCs/>
          <w:kern w:val="2"/>
          <w14:ligatures w14:val="standardContextual"/>
        </w:rPr>
        <w:lastRenderedPageBreak/>
        <w:t>Grafica 1. Curva epidémica de las 6 localidades de la Subred Norte, 2020- 2024.</w:t>
      </w:r>
    </w:p>
    <w:p w14:paraId="1603CA0B" w14:textId="77777777" w:rsidR="00945823" w:rsidRPr="002D532C" w:rsidRDefault="00945823" w:rsidP="002D532C">
      <w:pPr>
        <w:shd w:val="clear" w:color="auto" w:fill="FFFFFF"/>
        <w:spacing w:after="0" w:line="257" w:lineRule="atLeast"/>
        <w:jc w:val="both"/>
        <w:rPr>
          <w:rFonts w:ascii="Arial" w:eastAsia="Times New Roman" w:hAnsi="Arial" w:cs="Arial"/>
          <w:b/>
          <w:bCs/>
          <w:color w:val="000000"/>
          <w:lang w:eastAsia="es-CO"/>
        </w:rPr>
      </w:pPr>
    </w:p>
    <w:p w14:paraId="2A6ACE5B" w14:textId="77777777" w:rsidR="00945823" w:rsidRPr="002D532C" w:rsidRDefault="00945823" w:rsidP="002D532C">
      <w:pPr>
        <w:shd w:val="clear" w:color="auto" w:fill="FFFFFF"/>
        <w:spacing w:after="0" w:line="257" w:lineRule="atLeast"/>
        <w:jc w:val="center"/>
        <w:rPr>
          <w:rFonts w:ascii="Arial" w:eastAsia="Times New Roman" w:hAnsi="Arial" w:cs="Arial"/>
          <w:b/>
          <w:bCs/>
          <w:color w:val="000000"/>
          <w:lang w:eastAsia="es-CO"/>
        </w:rPr>
      </w:pPr>
      <w:r w:rsidRPr="002D532C">
        <w:rPr>
          <w:rFonts w:ascii="Arial" w:eastAsia="Calibri" w:hAnsi="Arial" w:cs="Arial"/>
          <w:noProof/>
          <w:lang w:eastAsia="es-CO"/>
        </w:rPr>
        <w:drawing>
          <wp:inline distT="0" distB="0" distL="0" distR="0" wp14:anchorId="7C2E0885" wp14:editId="0FB7A18F">
            <wp:extent cx="3124200" cy="2181225"/>
            <wp:effectExtent l="0" t="0" r="0" b="9525"/>
            <wp:docPr id="8" name="Gráfico 8">
              <a:extLst xmlns:a="http://schemas.openxmlformats.org/drawingml/2006/main">
                <a:ext uri="{FF2B5EF4-FFF2-40B4-BE49-F238E27FC236}">
                  <a16:creationId xmlns:a16="http://schemas.microsoft.com/office/drawing/2014/main" id="{8F8FF133-4DAB-4532-9977-60C5BE9FF29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5E7B420A" w14:textId="77777777" w:rsidR="00945823" w:rsidRPr="002D532C" w:rsidRDefault="00945823" w:rsidP="002D532C">
      <w:pPr>
        <w:spacing w:line="259" w:lineRule="auto"/>
        <w:jc w:val="center"/>
        <w:rPr>
          <w:rFonts w:ascii="Arial" w:eastAsia="Calibri" w:hAnsi="Arial" w:cs="Arial"/>
        </w:rPr>
      </w:pPr>
      <w:r w:rsidRPr="002D532C">
        <w:rPr>
          <w:rFonts w:ascii="Arial" w:eastAsia="Calibri" w:hAnsi="Arial" w:cs="Arial"/>
          <w:b/>
        </w:rPr>
        <w:t>Fuente:</w:t>
      </w:r>
      <w:r w:rsidRPr="002D532C">
        <w:rPr>
          <w:rFonts w:ascii="Arial" w:eastAsia="Calibri" w:hAnsi="Arial" w:cs="Arial"/>
        </w:rPr>
        <w:t xml:space="preserve"> Bases SIVIGILA Consolidado 850, 2020-2024.</w:t>
      </w:r>
    </w:p>
    <w:p w14:paraId="6BF612D7" w14:textId="77777777" w:rsidR="00A17F07" w:rsidRPr="002D532C" w:rsidRDefault="00A17F07" w:rsidP="002D532C">
      <w:pPr>
        <w:keepNext/>
        <w:spacing w:after="200" w:line="240" w:lineRule="auto"/>
        <w:jc w:val="both"/>
        <w:rPr>
          <w:rFonts w:ascii="Arial" w:eastAsia="Calibri" w:hAnsi="Arial" w:cs="Arial"/>
          <w:b/>
          <w:bCs/>
          <w:kern w:val="2"/>
          <w14:ligatures w14:val="standardContextual"/>
        </w:rPr>
      </w:pPr>
    </w:p>
    <w:p w14:paraId="39A15053" w14:textId="0C81D5DC" w:rsidR="00945823" w:rsidRPr="002D532C" w:rsidRDefault="00945823" w:rsidP="002D532C">
      <w:pPr>
        <w:keepNext/>
        <w:spacing w:after="200" w:line="240" w:lineRule="auto"/>
        <w:jc w:val="center"/>
        <w:rPr>
          <w:rFonts w:ascii="Arial" w:eastAsia="Calibri" w:hAnsi="Arial" w:cs="Arial"/>
          <w:b/>
          <w:bCs/>
          <w:kern w:val="2"/>
          <w14:ligatures w14:val="standardContextual"/>
        </w:rPr>
      </w:pPr>
      <w:r w:rsidRPr="002D532C">
        <w:rPr>
          <w:rFonts w:ascii="Arial" w:eastAsia="Calibri" w:hAnsi="Arial" w:cs="Arial"/>
          <w:b/>
          <w:bCs/>
          <w:kern w:val="2"/>
          <w14:ligatures w14:val="standardContextual"/>
        </w:rPr>
        <w:t>Tabla 3. Casos notificados por residencia del evento 850 VIH en las seis localidades de la Subred Norte, 2020- 2024.</w:t>
      </w:r>
    </w:p>
    <w:p w14:paraId="3CD90C78" w14:textId="1C86B0D2" w:rsidR="00945823" w:rsidRPr="002D532C" w:rsidRDefault="00945823" w:rsidP="002D532C">
      <w:pPr>
        <w:spacing w:line="259" w:lineRule="auto"/>
        <w:jc w:val="both"/>
        <w:rPr>
          <w:rFonts w:ascii="Arial" w:eastAsia="Calibri" w:hAnsi="Arial" w:cs="Arial"/>
        </w:rPr>
      </w:pPr>
      <w:r w:rsidRPr="002D532C">
        <w:rPr>
          <w:rFonts w:ascii="Arial" w:eastAsia="Calibri" w:hAnsi="Arial" w:cs="Arial"/>
          <w:noProof/>
          <w:sz w:val="20"/>
          <w:szCs w:val="20"/>
          <w:lang w:eastAsia="es-CO"/>
        </w:rPr>
        <w:drawing>
          <wp:inline distT="0" distB="0" distL="0" distR="0" wp14:anchorId="4A33039F" wp14:editId="221ECE1E">
            <wp:extent cx="5612130" cy="1427480"/>
            <wp:effectExtent l="0" t="0" r="7620" b="1270"/>
            <wp:docPr id="181763886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2130" cy="1427480"/>
                    </a:xfrm>
                    <a:prstGeom prst="rect">
                      <a:avLst/>
                    </a:prstGeom>
                    <a:noFill/>
                    <a:ln>
                      <a:noFill/>
                    </a:ln>
                  </pic:spPr>
                </pic:pic>
              </a:graphicData>
            </a:graphic>
          </wp:inline>
        </w:drawing>
      </w:r>
      <w:r w:rsidR="00CB75A6" w:rsidRPr="002D532C">
        <w:rPr>
          <w:rFonts w:ascii="Arial" w:eastAsia="Calibri" w:hAnsi="Arial" w:cs="Arial"/>
        </w:rPr>
        <w:t xml:space="preserve">                                                  </w:t>
      </w:r>
      <w:r w:rsidR="00A17F07" w:rsidRPr="002D532C">
        <w:rPr>
          <w:rFonts w:ascii="Arial" w:eastAsia="Calibri" w:hAnsi="Arial" w:cs="Arial"/>
          <w:b/>
        </w:rPr>
        <w:t>F</w:t>
      </w:r>
      <w:bookmarkStart w:id="0" w:name="_GoBack"/>
      <w:bookmarkEnd w:id="0"/>
      <w:r w:rsidR="00A17F07" w:rsidRPr="002D532C">
        <w:rPr>
          <w:rFonts w:ascii="Arial" w:eastAsia="Calibri" w:hAnsi="Arial" w:cs="Arial"/>
          <w:b/>
        </w:rPr>
        <w:t>uente:</w:t>
      </w:r>
      <w:r w:rsidR="00A17F07" w:rsidRPr="002D532C">
        <w:rPr>
          <w:rFonts w:ascii="Arial" w:eastAsia="Calibri" w:hAnsi="Arial" w:cs="Arial"/>
        </w:rPr>
        <w:t xml:space="preserve"> Bases SIVIGILA Consolidado 850, 2020-2024</w:t>
      </w:r>
      <w:r w:rsidRPr="002D532C">
        <w:rPr>
          <w:rFonts w:ascii="Arial" w:eastAsia="Calibri" w:hAnsi="Arial" w:cs="Arial"/>
        </w:rPr>
        <w:t>.</w:t>
      </w:r>
    </w:p>
    <w:p w14:paraId="7235A1D4" w14:textId="16997627" w:rsidR="008C2784" w:rsidRPr="002D532C" w:rsidRDefault="008C2784" w:rsidP="002D532C">
      <w:pPr>
        <w:shd w:val="clear" w:color="auto" w:fill="FFFFFF"/>
        <w:spacing w:after="0" w:line="257" w:lineRule="atLeast"/>
        <w:jc w:val="both"/>
        <w:rPr>
          <w:rFonts w:ascii="Arial" w:eastAsia="Calibri" w:hAnsi="Arial" w:cs="Arial"/>
          <w:bCs/>
        </w:rPr>
      </w:pPr>
      <w:r w:rsidRPr="002D532C">
        <w:rPr>
          <w:rFonts w:ascii="Arial" w:eastAsia="Calibri" w:hAnsi="Arial" w:cs="Arial"/>
          <w:bCs/>
        </w:rPr>
        <w:t>En cuanto a la distribución de los casos notificados de VIH (evento 850) en la Subred Norte, las localidades que concentran el mayor número de notificaciones en el periodo 2020-2024 son: Suba representa el 35% de los casos notificados en la Subred Norte, con un total de 2.815 casos, seguida de Engativá que concentra el 24% de los casos, sumando 1.971 casos.</w:t>
      </w:r>
      <w:r w:rsidR="00406E31" w:rsidRPr="002D532C">
        <w:rPr>
          <w:rFonts w:ascii="Arial" w:eastAsia="Calibri" w:hAnsi="Arial" w:cs="Arial"/>
          <w:bCs/>
        </w:rPr>
        <w:t xml:space="preserve"> </w:t>
      </w:r>
      <w:r w:rsidRPr="002D532C">
        <w:rPr>
          <w:rFonts w:ascii="Arial" w:eastAsia="Calibri" w:hAnsi="Arial" w:cs="Arial"/>
          <w:bCs/>
        </w:rPr>
        <w:t>Usaquén representa el 14% de las notificaciones, con 1.114 casos.</w:t>
      </w:r>
      <w:r w:rsidR="00406E31" w:rsidRPr="002D532C">
        <w:rPr>
          <w:rFonts w:ascii="Arial" w:eastAsia="Calibri" w:hAnsi="Arial" w:cs="Arial"/>
          <w:bCs/>
        </w:rPr>
        <w:t xml:space="preserve"> </w:t>
      </w:r>
      <w:r w:rsidRPr="002D532C">
        <w:rPr>
          <w:rFonts w:ascii="Arial" w:eastAsia="Calibri" w:hAnsi="Arial" w:cs="Arial"/>
          <w:bCs/>
        </w:rPr>
        <w:t>Estas tres localidades combinadas agrupan el 73% del total de los casos notificados en la Subred Norte durante este periodo.</w:t>
      </w:r>
    </w:p>
    <w:p w14:paraId="0E8E4538" w14:textId="77777777" w:rsidR="008C2784" w:rsidRPr="002D532C" w:rsidRDefault="008C2784" w:rsidP="002D532C">
      <w:pPr>
        <w:shd w:val="clear" w:color="auto" w:fill="FFFFFF"/>
        <w:spacing w:after="0" w:line="257" w:lineRule="atLeast"/>
        <w:jc w:val="both"/>
        <w:rPr>
          <w:rFonts w:ascii="Arial" w:eastAsia="Calibri" w:hAnsi="Arial" w:cs="Arial"/>
          <w:bCs/>
        </w:rPr>
      </w:pPr>
    </w:p>
    <w:p w14:paraId="33C087FF" w14:textId="03022AEC" w:rsidR="00945823" w:rsidRPr="002D532C" w:rsidRDefault="008C2784" w:rsidP="002D532C">
      <w:pPr>
        <w:shd w:val="clear" w:color="auto" w:fill="FFFFFF"/>
        <w:spacing w:after="0" w:line="257" w:lineRule="atLeast"/>
        <w:jc w:val="both"/>
        <w:rPr>
          <w:rFonts w:ascii="Arial" w:eastAsia="Times New Roman" w:hAnsi="Arial" w:cs="Arial"/>
          <w:b/>
          <w:bCs/>
          <w:i/>
          <w:iCs/>
          <w:color w:val="000000"/>
          <w:lang w:eastAsia="es-CO"/>
        </w:rPr>
      </w:pPr>
      <w:r w:rsidRPr="002D532C">
        <w:rPr>
          <w:rFonts w:ascii="Arial" w:eastAsia="Calibri" w:hAnsi="Arial" w:cs="Arial"/>
          <w:bCs/>
        </w:rPr>
        <w:t xml:space="preserve">Es importante señalar que, desde el VSP (Vigilancia en Salud Pública), no se dispone de información sobre los casos que progresan de VIH a SIDA. Esto se debe a que la notificación en el sistema SIVIGILA se realiza una sola vez durante la vida del paciente, lo </w:t>
      </w:r>
      <w:r w:rsidRPr="002D532C">
        <w:rPr>
          <w:rFonts w:ascii="Arial" w:eastAsia="Calibri" w:hAnsi="Arial" w:cs="Arial"/>
          <w:bCs/>
        </w:rPr>
        <w:lastRenderedPageBreak/>
        <w:t>que impide realizar un seguimiento detallado sobre la evolución de la enfermedad hacia el estadio de SIDA.</w:t>
      </w:r>
    </w:p>
    <w:p w14:paraId="0E13B199" w14:textId="77777777" w:rsidR="00945823" w:rsidRPr="002D532C" w:rsidRDefault="00945823" w:rsidP="002D532C">
      <w:pPr>
        <w:shd w:val="clear" w:color="auto" w:fill="FFFFFF"/>
        <w:spacing w:after="0" w:line="257" w:lineRule="atLeast"/>
        <w:ind w:left="66"/>
        <w:jc w:val="both"/>
        <w:rPr>
          <w:rFonts w:ascii="Arial" w:eastAsia="Times New Roman" w:hAnsi="Arial" w:cs="Arial"/>
          <w:color w:val="000000"/>
          <w:lang w:eastAsia="es-CO"/>
        </w:rPr>
      </w:pPr>
    </w:p>
    <w:p w14:paraId="65C4B5BC" w14:textId="77777777" w:rsidR="00945823" w:rsidRPr="002D532C" w:rsidRDefault="00945823" w:rsidP="002D532C">
      <w:pPr>
        <w:shd w:val="clear" w:color="auto" w:fill="FFFFFF"/>
        <w:spacing w:after="0" w:line="257" w:lineRule="atLeast"/>
        <w:ind w:left="66"/>
        <w:jc w:val="both"/>
        <w:rPr>
          <w:rFonts w:ascii="Arial" w:eastAsia="Times New Roman" w:hAnsi="Arial" w:cs="Arial"/>
          <w:color w:val="000000"/>
          <w:lang w:eastAsia="es-CO"/>
        </w:rPr>
      </w:pPr>
    </w:p>
    <w:p w14:paraId="1B31DBA5" w14:textId="6D97FA66" w:rsidR="005B7EAE" w:rsidRPr="002D532C" w:rsidRDefault="005B7EAE" w:rsidP="002D532C">
      <w:pPr>
        <w:numPr>
          <w:ilvl w:val="0"/>
          <w:numId w:val="7"/>
        </w:numPr>
        <w:shd w:val="clear" w:color="auto" w:fill="FFFFFF"/>
        <w:spacing w:after="0" w:line="257" w:lineRule="atLeast"/>
        <w:ind w:left="426"/>
        <w:jc w:val="both"/>
        <w:rPr>
          <w:rFonts w:ascii="Arial" w:eastAsia="Times New Roman" w:hAnsi="Arial" w:cs="Arial"/>
          <w:color w:val="000000"/>
          <w:lang w:eastAsia="es-CO"/>
        </w:rPr>
      </w:pPr>
      <w:r w:rsidRPr="002D532C">
        <w:rPr>
          <w:rFonts w:ascii="Arial" w:eastAsia="Times New Roman" w:hAnsi="Arial" w:cs="Arial"/>
          <w:color w:val="000000"/>
          <w:lang w:eastAsia="es-CO"/>
        </w:rPr>
        <w:t xml:space="preserve">¿Es posible clasificar esta curva como una epidemia en Bogotá? </w:t>
      </w:r>
    </w:p>
    <w:p w14:paraId="502C579D" w14:textId="77777777" w:rsidR="006322A3" w:rsidRPr="002D532C" w:rsidRDefault="006322A3" w:rsidP="002D532C">
      <w:pPr>
        <w:shd w:val="clear" w:color="auto" w:fill="FFFFFF"/>
        <w:spacing w:after="0" w:line="257" w:lineRule="atLeast"/>
        <w:ind w:left="66"/>
        <w:jc w:val="both"/>
        <w:rPr>
          <w:rFonts w:ascii="Arial" w:eastAsia="Times New Roman" w:hAnsi="Arial" w:cs="Arial"/>
          <w:color w:val="000000"/>
          <w:lang w:eastAsia="es-CO"/>
        </w:rPr>
      </w:pPr>
    </w:p>
    <w:p w14:paraId="4E11942D" w14:textId="1AEAB3D9" w:rsidR="00406E31" w:rsidRPr="002D532C" w:rsidRDefault="00406E31" w:rsidP="002D532C">
      <w:pPr>
        <w:shd w:val="clear" w:color="auto" w:fill="FFFFFF"/>
        <w:spacing w:after="0" w:line="257" w:lineRule="atLeast"/>
        <w:ind w:left="66"/>
        <w:jc w:val="both"/>
        <w:rPr>
          <w:rFonts w:ascii="Arial" w:eastAsia="Times New Roman" w:hAnsi="Arial" w:cs="Arial"/>
          <w:b/>
          <w:bCs/>
          <w:color w:val="000000"/>
          <w:lang w:eastAsia="es-CO"/>
        </w:rPr>
      </w:pPr>
      <w:r w:rsidRPr="002D532C">
        <w:rPr>
          <w:rFonts w:ascii="Arial" w:eastAsia="Times New Roman" w:hAnsi="Arial" w:cs="Arial"/>
          <w:b/>
          <w:bCs/>
          <w:color w:val="000000"/>
          <w:lang w:eastAsia="es-CO"/>
        </w:rPr>
        <w:t>Respuesta</w:t>
      </w:r>
    </w:p>
    <w:p w14:paraId="39024228" w14:textId="77777777" w:rsidR="00CB75A6" w:rsidRPr="002D532C" w:rsidRDefault="00CB75A6" w:rsidP="002D532C">
      <w:pPr>
        <w:shd w:val="clear" w:color="auto" w:fill="FFFFFF"/>
        <w:spacing w:after="0" w:line="257" w:lineRule="atLeast"/>
        <w:ind w:left="66"/>
        <w:jc w:val="both"/>
        <w:rPr>
          <w:rFonts w:ascii="Arial" w:eastAsia="Times New Roman" w:hAnsi="Arial" w:cs="Arial"/>
          <w:b/>
          <w:bCs/>
          <w:color w:val="000000"/>
          <w:lang w:eastAsia="es-CO"/>
        </w:rPr>
      </w:pPr>
    </w:p>
    <w:p w14:paraId="4E6D5D79" w14:textId="77777777" w:rsidR="00ED2C30" w:rsidRPr="002D532C" w:rsidRDefault="00ED2C30" w:rsidP="002D532C">
      <w:pPr>
        <w:shd w:val="clear" w:color="auto" w:fill="FFFFFF"/>
        <w:spacing w:after="0" w:line="257" w:lineRule="atLeast"/>
        <w:ind w:left="66"/>
        <w:jc w:val="both"/>
        <w:rPr>
          <w:rFonts w:ascii="Arial" w:eastAsia="Calibri" w:hAnsi="Arial" w:cs="Arial"/>
          <w:bCs/>
        </w:rPr>
      </w:pPr>
      <w:r w:rsidRPr="002D532C">
        <w:rPr>
          <w:rFonts w:ascii="Arial" w:eastAsia="Calibri" w:hAnsi="Arial" w:cs="Arial"/>
          <w:bCs/>
        </w:rPr>
        <w:t>Durante el periodo comprendido entre 2020 y 2024, la Subred Integrada de Servicios de Salud Norte E.S.E., con base en los datos disponibles, no ha logrado establecer un patrón claro de comportamiento epidémico en relación con la notificación de casos de VIH. No obstante, se observa una ligera tendencia a la disminución de los casos incidentes entre los residentes de las seis localidades a lo largo de los años.</w:t>
      </w:r>
    </w:p>
    <w:p w14:paraId="54A7BF41" w14:textId="77777777" w:rsidR="00ED2C30" w:rsidRPr="002D532C" w:rsidRDefault="00ED2C30" w:rsidP="002D532C">
      <w:pPr>
        <w:shd w:val="clear" w:color="auto" w:fill="FFFFFF"/>
        <w:spacing w:after="0" w:line="257" w:lineRule="atLeast"/>
        <w:ind w:left="66"/>
        <w:jc w:val="both"/>
        <w:rPr>
          <w:rFonts w:ascii="Arial" w:eastAsia="Calibri" w:hAnsi="Arial" w:cs="Arial"/>
          <w:bCs/>
        </w:rPr>
      </w:pPr>
    </w:p>
    <w:p w14:paraId="13CF3771" w14:textId="4260F85B" w:rsidR="00406E31" w:rsidRPr="002D532C" w:rsidRDefault="00ED2C30" w:rsidP="002D532C">
      <w:pPr>
        <w:shd w:val="clear" w:color="auto" w:fill="FFFFFF"/>
        <w:spacing w:after="0" w:line="257" w:lineRule="atLeast"/>
        <w:ind w:left="66"/>
        <w:jc w:val="both"/>
        <w:rPr>
          <w:rFonts w:ascii="Arial" w:eastAsia="Times New Roman" w:hAnsi="Arial" w:cs="Arial"/>
          <w:color w:val="000000"/>
          <w:lang w:eastAsia="es-CO"/>
        </w:rPr>
      </w:pPr>
      <w:r w:rsidRPr="002D532C">
        <w:rPr>
          <w:rFonts w:ascii="Arial" w:eastAsia="Calibri" w:hAnsi="Arial" w:cs="Arial"/>
          <w:bCs/>
        </w:rPr>
        <w:t>Es importante señalar que el comportamiento global del evento VIH se encuentra actualmente enmarcado dentro de la clasificación de pandemia. Sin embargo, esta tendencia ha mostrado cierta inestabilidad, influenciada en gran parte por las limitaciones en el acceso a los servicios de salud durante la emergencia sanitaria por COVID-19, lo que pudo haber afectado tanto la notificación como el diagnóstico y tratamiento de los casos.</w:t>
      </w:r>
    </w:p>
    <w:p w14:paraId="70998F0B" w14:textId="77777777" w:rsidR="00406E31" w:rsidRPr="002D532C" w:rsidRDefault="00406E31" w:rsidP="002D532C">
      <w:pPr>
        <w:shd w:val="clear" w:color="auto" w:fill="FFFFFF"/>
        <w:spacing w:after="0" w:line="257" w:lineRule="atLeast"/>
        <w:ind w:left="66"/>
        <w:jc w:val="both"/>
        <w:rPr>
          <w:rFonts w:ascii="Arial" w:eastAsia="Times New Roman" w:hAnsi="Arial" w:cs="Arial"/>
          <w:color w:val="000000"/>
          <w:lang w:eastAsia="es-CO"/>
        </w:rPr>
      </w:pPr>
    </w:p>
    <w:p w14:paraId="62C41391" w14:textId="70674D09" w:rsidR="005B7EAE" w:rsidRPr="002D532C" w:rsidRDefault="005B7EAE" w:rsidP="002D532C">
      <w:pPr>
        <w:numPr>
          <w:ilvl w:val="0"/>
          <w:numId w:val="7"/>
        </w:numPr>
        <w:shd w:val="clear" w:color="auto" w:fill="FFFFFF"/>
        <w:spacing w:after="0" w:line="257" w:lineRule="atLeast"/>
        <w:ind w:left="426"/>
        <w:jc w:val="both"/>
        <w:rPr>
          <w:rFonts w:ascii="Arial" w:eastAsia="Times New Roman" w:hAnsi="Arial" w:cs="Arial"/>
          <w:color w:val="000000"/>
          <w:lang w:eastAsia="es-CO"/>
        </w:rPr>
      </w:pPr>
      <w:r w:rsidRPr="002D532C">
        <w:rPr>
          <w:rFonts w:ascii="Arial" w:eastAsia="Times New Roman" w:hAnsi="Arial" w:cs="Arial"/>
          <w:color w:val="000000"/>
          <w:lang w:eastAsia="es-CO"/>
        </w:rPr>
        <w:t>Discriminar por género, rango etario, estrato social y grupo poblacional de individuos que progresan de VIH a SIDA. </w:t>
      </w:r>
    </w:p>
    <w:p w14:paraId="149C2513" w14:textId="77777777" w:rsidR="006322A3" w:rsidRPr="002D532C" w:rsidRDefault="006322A3" w:rsidP="002D532C">
      <w:pPr>
        <w:shd w:val="clear" w:color="auto" w:fill="FFFFFF"/>
        <w:spacing w:after="0" w:line="257" w:lineRule="atLeast"/>
        <w:ind w:left="66"/>
        <w:jc w:val="both"/>
        <w:rPr>
          <w:rFonts w:ascii="Arial" w:eastAsia="Times New Roman" w:hAnsi="Arial" w:cs="Arial"/>
          <w:color w:val="000000"/>
          <w:lang w:eastAsia="es-CO"/>
        </w:rPr>
      </w:pPr>
    </w:p>
    <w:p w14:paraId="42E62B58" w14:textId="26B0C675" w:rsidR="001E7B67" w:rsidRPr="002D532C" w:rsidRDefault="001E7B67" w:rsidP="002D532C">
      <w:pPr>
        <w:shd w:val="clear" w:color="auto" w:fill="FFFFFF"/>
        <w:spacing w:after="0" w:line="257" w:lineRule="atLeast"/>
        <w:ind w:left="66"/>
        <w:jc w:val="both"/>
        <w:rPr>
          <w:rFonts w:ascii="Arial" w:eastAsia="Times New Roman" w:hAnsi="Arial" w:cs="Arial"/>
          <w:b/>
          <w:bCs/>
          <w:color w:val="000000"/>
          <w:lang w:eastAsia="es-CO"/>
        </w:rPr>
      </w:pPr>
      <w:r w:rsidRPr="002D532C">
        <w:rPr>
          <w:rFonts w:ascii="Arial" w:eastAsia="Times New Roman" w:hAnsi="Arial" w:cs="Arial"/>
          <w:b/>
          <w:bCs/>
          <w:color w:val="000000"/>
          <w:lang w:eastAsia="es-CO"/>
        </w:rPr>
        <w:t>Respuesta</w:t>
      </w:r>
    </w:p>
    <w:p w14:paraId="66BA4CBF" w14:textId="77777777" w:rsidR="00CB75A6" w:rsidRPr="002D532C" w:rsidRDefault="00CB75A6" w:rsidP="002D532C">
      <w:pPr>
        <w:shd w:val="clear" w:color="auto" w:fill="FFFFFF"/>
        <w:spacing w:after="0" w:line="257" w:lineRule="atLeast"/>
        <w:ind w:left="66"/>
        <w:jc w:val="both"/>
        <w:rPr>
          <w:rFonts w:ascii="Arial" w:eastAsia="Times New Roman" w:hAnsi="Arial" w:cs="Arial"/>
          <w:b/>
          <w:bCs/>
          <w:color w:val="000000"/>
          <w:lang w:eastAsia="es-CO"/>
        </w:rPr>
      </w:pPr>
    </w:p>
    <w:p w14:paraId="0C15AFFA" w14:textId="77777777" w:rsidR="00721ADE" w:rsidRPr="002D532C" w:rsidRDefault="00DE417A" w:rsidP="002D532C">
      <w:pPr>
        <w:shd w:val="clear" w:color="auto" w:fill="FFFFFF"/>
        <w:spacing w:after="0" w:line="257" w:lineRule="atLeast"/>
        <w:jc w:val="both"/>
        <w:rPr>
          <w:rFonts w:ascii="Arial" w:eastAsia="Times New Roman" w:hAnsi="Arial" w:cs="Arial"/>
          <w:b/>
          <w:bCs/>
          <w:i/>
          <w:iCs/>
          <w:color w:val="000000"/>
          <w:lang w:eastAsia="es-CO"/>
        </w:rPr>
      </w:pPr>
      <w:r w:rsidRPr="002D532C">
        <w:rPr>
          <w:rFonts w:ascii="Arial" w:eastAsia="Calibri" w:hAnsi="Arial" w:cs="Arial"/>
          <w:bCs/>
        </w:rPr>
        <w:t>Desde la Subred Integrada de Servicios de Salud Norte E.S.E., no es posible realizar un análisis detallado sobre la progresión de la enfermedad desde el diagnóstico inicial de VIH hasta su evolución hacia el estadio de SIDA. Esto se debe a que la notificación de los casos en SIVIGILA está orientada únicamente a la identificación de nuevos casos</w:t>
      </w:r>
      <w:r w:rsidR="00721ADE" w:rsidRPr="002D532C">
        <w:rPr>
          <w:rFonts w:ascii="Arial" w:eastAsia="Calibri" w:hAnsi="Arial" w:cs="Arial"/>
          <w:bCs/>
        </w:rPr>
        <w:t xml:space="preserve"> que impide realizar un seguimiento detallado sobre la evolución de la enfermedad hacia el estadio de SIDA.</w:t>
      </w:r>
    </w:p>
    <w:p w14:paraId="2DC03CB8" w14:textId="77777777" w:rsidR="001E7B67" w:rsidRPr="002D532C" w:rsidRDefault="001E7B67" w:rsidP="002D532C">
      <w:pPr>
        <w:shd w:val="clear" w:color="auto" w:fill="FFFFFF"/>
        <w:spacing w:after="0" w:line="257" w:lineRule="atLeast"/>
        <w:ind w:left="66"/>
        <w:jc w:val="both"/>
        <w:rPr>
          <w:rFonts w:ascii="Arial" w:eastAsia="Times New Roman" w:hAnsi="Arial" w:cs="Arial"/>
          <w:color w:val="000000"/>
          <w:lang w:eastAsia="es-CO"/>
        </w:rPr>
      </w:pPr>
    </w:p>
    <w:p w14:paraId="51A0EAD2" w14:textId="141F17DA" w:rsidR="006322A3" w:rsidRPr="002D532C" w:rsidRDefault="005B7EAE" w:rsidP="002D532C">
      <w:pPr>
        <w:numPr>
          <w:ilvl w:val="0"/>
          <w:numId w:val="7"/>
        </w:numPr>
        <w:shd w:val="clear" w:color="auto" w:fill="FFFFFF"/>
        <w:spacing w:after="0" w:line="257" w:lineRule="atLeast"/>
        <w:ind w:left="426"/>
        <w:jc w:val="both"/>
        <w:rPr>
          <w:rFonts w:ascii="Arial" w:eastAsia="Times New Roman" w:hAnsi="Arial" w:cs="Arial"/>
          <w:color w:val="000000"/>
          <w:lang w:eastAsia="es-CO"/>
        </w:rPr>
      </w:pPr>
      <w:r w:rsidRPr="002D532C">
        <w:rPr>
          <w:rFonts w:ascii="Arial" w:eastAsia="Times New Roman" w:hAnsi="Arial" w:cs="Arial"/>
          <w:color w:val="000000"/>
          <w:lang w:eastAsia="es-CO"/>
        </w:rPr>
        <w:t>¿Cuáles son las campañas adelantadas de detección temprana que se han realizado en la ciudad? </w:t>
      </w:r>
    </w:p>
    <w:p w14:paraId="07E2BF38" w14:textId="77777777" w:rsidR="00CB75A6" w:rsidRPr="002D532C" w:rsidRDefault="00CB75A6" w:rsidP="002D532C">
      <w:pPr>
        <w:shd w:val="clear" w:color="auto" w:fill="FFFFFF"/>
        <w:spacing w:after="0" w:line="257" w:lineRule="atLeast"/>
        <w:ind w:left="426"/>
        <w:jc w:val="both"/>
        <w:rPr>
          <w:rFonts w:ascii="Arial" w:eastAsia="Times New Roman" w:hAnsi="Arial" w:cs="Arial"/>
          <w:color w:val="000000"/>
          <w:lang w:eastAsia="es-CO"/>
        </w:rPr>
      </w:pPr>
    </w:p>
    <w:p w14:paraId="7B3B9CAB" w14:textId="20CE8397" w:rsidR="0037058B" w:rsidRPr="002D532C" w:rsidRDefault="0037058B" w:rsidP="002D532C">
      <w:pPr>
        <w:spacing w:after="0" w:line="240" w:lineRule="auto"/>
        <w:jc w:val="both"/>
        <w:rPr>
          <w:rFonts w:ascii="Arial" w:eastAsia="Times New Roman" w:hAnsi="Arial" w:cs="Arial"/>
          <w:b/>
          <w:bCs/>
          <w:color w:val="000000"/>
          <w:lang w:eastAsia="es-CO"/>
        </w:rPr>
      </w:pPr>
      <w:r w:rsidRPr="002D532C">
        <w:rPr>
          <w:rFonts w:ascii="Arial" w:eastAsia="Times New Roman" w:hAnsi="Arial" w:cs="Arial"/>
          <w:b/>
          <w:bCs/>
          <w:color w:val="000000"/>
          <w:lang w:eastAsia="es-CO"/>
        </w:rPr>
        <w:t>Respuesta</w:t>
      </w:r>
    </w:p>
    <w:p w14:paraId="2D9AECD5" w14:textId="77777777" w:rsidR="00CB75A6" w:rsidRPr="002D532C" w:rsidRDefault="00CB75A6" w:rsidP="002D532C">
      <w:pPr>
        <w:spacing w:after="0" w:line="240" w:lineRule="auto"/>
        <w:jc w:val="both"/>
        <w:rPr>
          <w:rFonts w:ascii="Arial" w:eastAsia="Times New Roman" w:hAnsi="Arial" w:cs="Arial"/>
          <w:b/>
          <w:bCs/>
          <w:color w:val="000000"/>
          <w:lang w:eastAsia="es-CO"/>
        </w:rPr>
      </w:pPr>
    </w:p>
    <w:p w14:paraId="0ED34797" w14:textId="77777777" w:rsidR="002B4A9B" w:rsidRPr="002D532C" w:rsidRDefault="002B4A9B" w:rsidP="002D532C">
      <w:pPr>
        <w:autoSpaceDE w:val="0"/>
        <w:autoSpaceDN w:val="0"/>
        <w:adjustRightInd w:val="0"/>
        <w:spacing w:after="0" w:line="240" w:lineRule="auto"/>
        <w:contextualSpacing/>
        <w:jc w:val="both"/>
        <w:rPr>
          <w:rFonts w:ascii="Arial" w:eastAsia="Calibri" w:hAnsi="Arial" w:cs="Arial"/>
          <w:color w:val="000000"/>
        </w:rPr>
      </w:pPr>
      <w:r w:rsidRPr="002D532C">
        <w:rPr>
          <w:rFonts w:ascii="Arial" w:eastAsia="Calibri" w:hAnsi="Arial" w:cs="Arial"/>
          <w:color w:val="000000"/>
        </w:rPr>
        <w:t>La Subred Integrada de Servicios de Salud Norte, a través del Plan de Intervenciones Colectivas (PIC), no cuenta con campañas exclusivas para la prevención del VIH. Sin embargo, en articulación con los lineamientos establecidos por la Secretaría Distrital de Salud, se han desarrollado múltiples estrategias de detección temprana en diferentes entornos poblacionales, con un enfoque integral en salud sexual y reproductiva.</w:t>
      </w:r>
    </w:p>
    <w:p w14:paraId="5A6E2BFE" w14:textId="77777777" w:rsidR="002B4A9B" w:rsidRPr="002D532C" w:rsidRDefault="002B4A9B" w:rsidP="002D532C">
      <w:pPr>
        <w:autoSpaceDE w:val="0"/>
        <w:autoSpaceDN w:val="0"/>
        <w:adjustRightInd w:val="0"/>
        <w:spacing w:after="0" w:line="240" w:lineRule="auto"/>
        <w:contextualSpacing/>
        <w:jc w:val="both"/>
        <w:rPr>
          <w:rFonts w:ascii="Arial" w:eastAsia="Calibri" w:hAnsi="Arial" w:cs="Arial"/>
          <w:color w:val="000000"/>
        </w:rPr>
      </w:pPr>
    </w:p>
    <w:p w14:paraId="4F9A9BB2" w14:textId="77777777" w:rsidR="002B4A9B" w:rsidRPr="002D532C" w:rsidRDefault="002B4A9B" w:rsidP="002D532C">
      <w:pPr>
        <w:autoSpaceDE w:val="0"/>
        <w:autoSpaceDN w:val="0"/>
        <w:adjustRightInd w:val="0"/>
        <w:spacing w:after="0" w:line="240" w:lineRule="auto"/>
        <w:contextualSpacing/>
        <w:jc w:val="both"/>
        <w:rPr>
          <w:rFonts w:ascii="Arial" w:eastAsia="Calibri" w:hAnsi="Arial" w:cs="Arial"/>
          <w:color w:val="000000"/>
        </w:rPr>
      </w:pPr>
      <w:r w:rsidRPr="002D532C">
        <w:rPr>
          <w:rFonts w:ascii="Arial" w:eastAsia="Calibri" w:hAnsi="Arial" w:cs="Arial"/>
          <w:color w:val="000000"/>
          <w:u w:val="single"/>
        </w:rPr>
        <w:t>En el entorno educativo</w:t>
      </w:r>
      <w:r w:rsidRPr="002D532C">
        <w:rPr>
          <w:rFonts w:ascii="Arial" w:eastAsia="Calibri" w:hAnsi="Arial" w:cs="Arial"/>
          <w:color w:val="000000"/>
        </w:rPr>
        <w:t xml:space="preserve">, bajo el componente Bienestar en Nuestro Entorno Educativo, se han adelantado jornadas de salud y bienestar en instituciones educativas, centros de </w:t>
      </w:r>
      <w:r w:rsidRPr="002D532C">
        <w:rPr>
          <w:rFonts w:ascii="Arial" w:eastAsia="Calibri" w:hAnsi="Arial" w:cs="Arial"/>
          <w:color w:val="000000"/>
        </w:rPr>
        <w:lastRenderedPageBreak/>
        <w:t>formación para el trabajo y universidades. Estas jornadas incluyen actividades de promoción de estilos de vida saludables, asesoría en salud sexual y reproductiva, prevención del consumo de sustancias psicoactivas y aplicación de pruebas rápidas para VIH, sífilis y hepatitis B. Adicionalmente, a través de las Zonas de Orientación Universitaria (ZOU), se ofrece asesoría continua sobre salud mental, autocuidado, derechos sexuales y prevención de infecciones de transmisión sexual (ITS).</w:t>
      </w:r>
    </w:p>
    <w:p w14:paraId="7953CF22" w14:textId="77777777" w:rsidR="002B4A9B" w:rsidRPr="002D532C" w:rsidRDefault="002B4A9B" w:rsidP="002D532C">
      <w:pPr>
        <w:autoSpaceDE w:val="0"/>
        <w:autoSpaceDN w:val="0"/>
        <w:adjustRightInd w:val="0"/>
        <w:spacing w:after="0" w:line="240" w:lineRule="auto"/>
        <w:contextualSpacing/>
        <w:jc w:val="both"/>
        <w:rPr>
          <w:rFonts w:ascii="Arial" w:eastAsia="Calibri" w:hAnsi="Arial" w:cs="Arial"/>
          <w:color w:val="000000"/>
        </w:rPr>
      </w:pPr>
    </w:p>
    <w:p w14:paraId="1F3E3288" w14:textId="1EF3C95C" w:rsidR="002B4A9B" w:rsidRPr="002D532C" w:rsidRDefault="00032158" w:rsidP="002D532C">
      <w:pPr>
        <w:autoSpaceDE w:val="0"/>
        <w:autoSpaceDN w:val="0"/>
        <w:adjustRightInd w:val="0"/>
        <w:spacing w:after="0" w:line="240" w:lineRule="auto"/>
        <w:contextualSpacing/>
        <w:jc w:val="both"/>
        <w:rPr>
          <w:rFonts w:ascii="Arial" w:eastAsia="Calibri" w:hAnsi="Arial" w:cs="Arial"/>
          <w:color w:val="000000"/>
        </w:rPr>
      </w:pPr>
      <w:r w:rsidRPr="002D532C">
        <w:rPr>
          <w:rFonts w:ascii="Arial" w:eastAsia="Calibri" w:hAnsi="Arial" w:cs="Arial"/>
          <w:color w:val="000000"/>
          <w:u w:val="single"/>
        </w:rPr>
        <w:t>El</w:t>
      </w:r>
      <w:r w:rsidR="002B4A9B" w:rsidRPr="002D532C">
        <w:rPr>
          <w:rFonts w:ascii="Arial" w:eastAsia="Calibri" w:hAnsi="Arial" w:cs="Arial"/>
          <w:color w:val="000000"/>
          <w:u w:val="single"/>
        </w:rPr>
        <w:t xml:space="preserve"> entorno institucional</w:t>
      </w:r>
      <w:r w:rsidR="002B4A9B" w:rsidRPr="002D532C">
        <w:rPr>
          <w:rFonts w:ascii="Arial" w:eastAsia="Calibri" w:hAnsi="Arial" w:cs="Arial"/>
          <w:color w:val="000000"/>
        </w:rPr>
        <w:t>, ha implementado acciones de tamizaje en centros carcelarios, unidades del Sistema de Responsabilidad Penal para Adolescentes (SRPA), hogares del ICBF, Casas de Igualdad de Oportunidades para las Mujeres y centros de atención a habitantes de calle. En estos espacios se aplican pruebas rápidas de VIH y sífilis tanto a las personas institucionalizadas como a sus cuidadores, con remisión inmediata de los casos positivos.</w:t>
      </w:r>
    </w:p>
    <w:p w14:paraId="30254387" w14:textId="77777777" w:rsidR="002B4A9B" w:rsidRPr="002D532C" w:rsidRDefault="002B4A9B" w:rsidP="002D532C">
      <w:pPr>
        <w:autoSpaceDE w:val="0"/>
        <w:autoSpaceDN w:val="0"/>
        <w:adjustRightInd w:val="0"/>
        <w:spacing w:after="0" w:line="240" w:lineRule="auto"/>
        <w:contextualSpacing/>
        <w:jc w:val="both"/>
        <w:rPr>
          <w:rFonts w:ascii="Arial" w:eastAsia="Calibri" w:hAnsi="Arial" w:cs="Arial"/>
          <w:color w:val="000000"/>
        </w:rPr>
      </w:pPr>
    </w:p>
    <w:p w14:paraId="209C6DC2" w14:textId="5174BC30" w:rsidR="002B4A9B" w:rsidRPr="002D532C" w:rsidRDefault="00AB6D81" w:rsidP="002D532C">
      <w:pPr>
        <w:autoSpaceDE w:val="0"/>
        <w:autoSpaceDN w:val="0"/>
        <w:adjustRightInd w:val="0"/>
        <w:spacing w:after="0" w:line="240" w:lineRule="auto"/>
        <w:contextualSpacing/>
        <w:jc w:val="both"/>
        <w:rPr>
          <w:rFonts w:ascii="Arial" w:eastAsia="Calibri" w:hAnsi="Arial" w:cs="Arial"/>
          <w:color w:val="000000"/>
        </w:rPr>
      </w:pPr>
      <w:r w:rsidRPr="002D532C">
        <w:rPr>
          <w:rFonts w:ascii="Arial" w:eastAsia="Calibri" w:hAnsi="Arial" w:cs="Arial"/>
          <w:color w:val="000000"/>
        </w:rPr>
        <w:t>Así mismo, el</w:t>
      </w:r>
      <w:r w:rsidR="002B4A9B" w:rsidRPr="002D532C">
        <w:rPr>
          <w:rFonts w:ascii="Arial" w:eastAsia="Calibri" w:hAnsi="Arial" w:cs="Arial"/>
          <w:color w:val="000000"/>
        </w:rPr>
        <w:t xml:space="preserve"> entorno laboral, ha adelantado </w:t>
      </w:r>
      <w:r w:rsidRPr="002D532C">
        <w:rPr>
          <w:rFonts w:ascii="Arial" w:eastAsia="Calibri" w:hAnsi="Arial" w:cs="Arial"/>
          <w:color w:val="000000"/>
        </w:rPr>
        <w:t>acciones</w:t>
      </w:r>
      <w:r w:rsidR="002B4A9B" w:rsidRPr="002D532C">
        <w:rPr>
          <w:rFonts w:ascii="Arial" w:eastAsia="Calibri" w:hAnsi="Arial" w:cs="Arial"/>
          <w:color w:val="000000"/>
        </w:rPr>
        <w:t xml:space="preserve"> dirigidas a personas vinculadas a actividades sexuales pagadas, enfocadas en la promoción del autocuidado y la detección temprana de ITS. Estas acciones se desarrollan en zonas priorizadas de alta actividad comercial o sexual, con toma de pruebas rápidas y orientación individual.</w:t>
      </w:r>
    </w:p>
    <w:p w14:paraId="2C2B6B8B" w14:textId="77777777" w:rsidR="002B4A9B" w:rsidRPr="002D532C" w:rsidRDefault="002B4A9B" w:rsidP="002D532C">
      <w:pPr>
        <w:autoSpaceDE w:val="0"/>
        <w:autoSpaceDN w:val="0"/>
        <w:adjustRightInd w:val="0"/>
        <w:spacing w:after="0" w:line="240" w:lineRule="auto"/>
        <w:contextualSpacing/>
        <w:jc w:val="both"/>
        <w:rPr>
          <w:rFonts w:ascii="Arial" w:eastAsia="Calibri" w:hAnsi="Arial" w:cs="Arial"/>
          <w:color w:val="000000"/>
        </w:rPr>
      </w:pPr>
    </w:p>
    <w:p w14:paraId="1C320C2F" w14:textId="2FA679A3" w:rsidR="002B4A9B" w:rsidRPr="002D532C" w:rsidRDefault="002B4A9B" w:rsidP="002D532C">
      <w:pPr>
        <w:autoSpaceDE w:val="0"/>
        <w:autoSpaceDN w:val="0"/>
        <w:adjustRightInd w:val="0"/>
        <w:spacing w:after="0" w:line="240" w:lineRule="auto"/>
        <w:contextualSpacing/>
        <w:jc w:val="both"/>
        <w:rPr>
          <w:rFonts w:ascii="Arial" w:eastAsia="Calibri" w:hAnsi="Arial" w:cs="Arial"/>
          <w:color w:val="000000"/>
        </w:rPr>
      </w:pPr>
      <w:r w:rsidRPr="002D532C">
        <w:rPr>
          <w:rFonts w:ascii="Arial" w:eastAsia="Calibri" w:hAnsi="Arial" w:cs="Arial"/>
          <w:color w:val="000000"/>
          <w:u w:val="single"/>
        </w:rPr>
        <w:t>En el entorno comunitario</w:t>
      </w:r>
      <w:r w:rsidRPr="002D532C">
        <w:rPr>
          <w:rFonts w:ascii="Arial" w:eastAsia="Calibri" w:hAnsi="Arial" w:cs="Arial"/>
          <w:color w:val="000000"/>
        </w:rPr>
        <w:t>, se han promovido estrategias de identificación de riesgos asociados a ITS dentro del programa Bienestar Integral es Más Salud Mental. Estas acciones están dirigidas a grupos poblacionales vulnerables y sus redes de apoyo, y contemplan tamizajes para VIH, sífilis y hepatitis B, así como acciones para fortalecer el autocuidado y prevenir enfermedades de transmisión sexual.</w:t>
      </w:r>
      <w:r w:rsidR="00920BEA" w:rsidRPr="002D532C">
        <w:rPr>
          <w:rFonts w:ascii="Arial" w:eastAsia="Calibri" w:hAnsi="Arial" w:cs="Arial"/>
          <w:color w:val="000000"/>
        </w:rPr>
        <w:t xml:space="preserve"> </w:t>
      </w:r>
      <w:r w:rsidRPr="002D532C">
        <w:rPr>
          <w:rFonts w:ascii="Arial" w:eastAsia="Calibri" w:hAnsi="Arial" w:cs="Arial"/>
          <w:color w:val="000000"/>
        </w:rPr>
        <w:t>Adicionalmente, se ha implementado la estrategia Escuchar para más Bienestar, con enfoque diferencial y de género, orientada a mujeres, población LGBTI y habitantes de calle. Esta estrategia incluye la realización periódica de pruebas rápidas y actividades de promoción de derechos sexuales y reproductivos, especialmente en fechas conmemorativas como el Día Internacional de la Mujer.</w:t>
      </w:r>
      <w:r w:rsidR="00920BEA" w:rsidRPr="002D532C">
        <w:rPr>
          <w:rFonts w:ascii="Arial" w:eastAsia="Calibri" w:hAnsi="Arial" w:cs="Arial"/>
          <w:color w:val="000000"/>
        </w:rPr>
        <w:t xml:space="preserve"> </w:t>
      </w:r>
      <w:r w:rsidRPr="002D532C">
        <w:rPr>
          <w:rFonts w:ascii="Arial" w:eastAsia="Calibri" w:hAnsi="Arial" w:cs="Arial"/>
          <w:color w:val="000000"/>
        </w:rPr>
        <w:t>Por último, desde la estrategia SPAcios de Bienestar se desarrollan intervenciones individuales y colectivas según las necesidades del territorio, con enfoque diferencial por curso de vida, género, etnia, discapacidad y contexto social. Estas intervenciones incluyen la aplicación de pruebas rápidas de VIH, sífilis y hepatitis B como parte de los planes de bienestar integrales.</w:t>
      </w:r>
    </w:p>
    <w:p w14:paraId="47F7BA01" w14:textId="77777777" w:rsidR="009970C1" w:rsidRPr="002D532C" w:rsidRDefault="009970C1" w:rsidP="002D532C">
      <w:pPr>
        <w:autoSpaceDE w:val="0"/>
        <w:autoSpaceDN w:val="0"/>
        <w:adjustRightInd w:val="0"/>
        <w:spacing w:after="0" w:line="240" w:lineRule="auto"/>
        <w:contextualSpacing/>
        <w:jc w:val="both"/>
        <w:rPr>
          <w:rFonts w:ascii="Arial" w:eastAsia="Calibri" w:hAnsi="Arial" w:cs="Arial"/>
          <w:color w:val="000000"/>
        </w:rPr>
      </w:pPr>
    </w:p>
    <w:p w14:paraId="0779B1CA" w14:textId="390D35EE" w:rsidR="009970C1" w:rsidRPr="002D532C" w:rsidRDefault="009D0E36" w:rsidP="002D532C">
      <w:pPr>
        <w:autoSpaceDE w:val="0"/>
        <w:autoSpaceDN w:val="0"/>
        <w:adjustRightInd w:val="0"/>
        <w:spacing w:after="0" w:line="240" w:lineRule="auto"/>
        <w:contextualSpacing/>
        <w:jc w:val="both"/>
        <w:rPr>
          <w:rFonts w:ascii="Arial" w:eastAsia="Calibri" w:hAnsi="Arial" w:cs="Arial"/>
          <w:color w:val="000000"/>
        </w:rPr>
      </w:pPr>
      <w:r w:rsidRPr="002D532C">
        <w:rPr>
          <w:rFonts w:ascii="Arial" w:eastAsia="Calibri" w:hAnsi="Arial" w:cs="Arial"/>
          <w:color w:val="000000"/>
        </w:rPr>
        <w:t xml:space="preserve">Además, como parte de la Ruta de Atención para Enfermedades Infecciosas, durante las fechas conmemorativas del VIH se han realizado jornadas de tamizaje dirigidas a funcionarios de las unidades de atención con servicios de urgencias y hospitalización, como el Hospital Simón Bolívar, Hospital Chapinero, Hospital Emaús y Hospital Engativá. Estas jornadas, llevadas a cabo en los años 2022 y 2023, facilitó </w:t>
      </w:r>
      <w:r w:rsidR="00B7710B" w:rsidRPr="002D532C">
        <w:rPr>
          <w:rFonts w:ascii="Arial" w:eastAsia="Calibri" w:hAnsi="Arial" w:cs="Arial"/>
          <w:color w:val="000000"/>
        </w:rPr>
        <w:t>a</w:t>
      </w:r>
      <w:r w:rsidRPr="002D532C">
        <w:rPr>
          <w:rFonts w:ascii="Arial" w:eastAsia="Calibri" w:hAnsi="Arial" w:cs="Arial"/>
          <w:color w:val="000000"/>
        </w:rPr>
        <w:t xml:space="preserve">l recurso humano la identificación del riesgo en </w:t>
      </w:r>
      <w:r w:rsidR="00404EA4" w:rsidRPr="002D532C">
        <w:rPr>
          <w:rFonts w:ascii="Arial" w:eastAsia="Calibri" w:hAnsi="Arial" w:cs="Arial"/>
          <w:color w:val="000000"/>
        </w:rPr>
        <w:t>poblaciones vulnerables</w:t>
      </w:r>
      <w:r w:rsidRPr="002D532C">
        <w:rPr>
          <w:rFonts w:ascii="Arial" w:eastAsia="Calibri" w:hAnsi="Arial" w:cs="Arial"/>
          <w:color w:val="000000"/>
        </w:rPr>
        <w:t xml:space="preserve">. </w:t>
      </w:r>
    </w:p>
    <w:p w14:paraId="470A2052" w14:textId="77777777" w:rsidR="002B4A9B" w:rsidRPr="002D532C" w:rsidRDefault="002B4A9B" w:rsidP="002D532C">
      <w:pPr>
        <w:autoSpaceDE w:val="0"/>
        <w:autoSpaceDN w:val="0"/>
        <w:adjustRightInd w:val="0"/>
        <w:spacing w:after="0" w:line="240" w:lineRule="auto"/>
        <w:contextualSpacing/>
        <w:jc w:val="both"/>
        <w:rPr>
          <w:rFonts w:ascii="Arial" w:eastAsia="Calibri" w:hAnsi="Arial" w:cs="Arial"/>
          <w:color w:val="000000"/>
        </w:rPr>
      </w:pPr>
    </w:p>
    <w:p w14:paraId="6CF93723" w14:textId="2B7C6AF7" w:rsidR="00DF52CA" w:rsidRPr="002D532C" w:rsidRDefault="005B7EAE" w:rsidP="002D532C">
      <w:pPr>
        <w:numPr>
          <w:ilvl w:val="0"/>
          <w:numId w:val="7"/>
        </w:numPr>
        <w:shd w:val="clear" w:color="auto" w:fill="FFFFFF"/>
        <w:spacing w:after="0" w:line="257" w:lineRule="atLeast"/>
        <w:ind w:left="426"/>
        <w:jc w:val="both"/>
        <w:rPr>
          <w:rFonts w:ascii="Arial" w:eastAsia="Times New Roman" w:hAnsi="Arial" w:cs="Arial"/>
          <w:color w:val="000000"/>
          <w:lang w:eastAsia="es-CO"/>
        </w:rPr>
      </w:pPr>
      <w:r w:rsidRPr="002D532C">
        <w:rPr>
          <w:rFonts w:ascii="Arial" w:eastAsia="Times New Roman" w:hAnsi="Arial" w:cs="Arial"/>
          <w:color w:val="000000"/>
          <w:lang w:eastAsia="es-CO"/>
        </w:rPr>
        <w:t xml:space="preserve">¿Cuáles son las zonas con mayor índice de personas contagiadas? </w:t>
      </w:r>
    </w:p>
    <w:p w14:paraId="5F20596C" w14:textId="77777777" w:rsidR="00CB75A6" w:rsidRPr="002D532C" w:rsidRDefault="00CB75A6" w:rsidP="002D532C">
      <w:pPr>
        <w:shd w:val="clear" w:color="auto" w:fill="FFFFFF"/>
        <w:spacing w:after="0" w:line="257" w:lineRule="atLeast"/>
        <w:ind w:left="426"/>
        <w:jc w:val="both"/>
        <w:rPr>
          <w:rFonts w:ascii="Arial" w:eastAsia="Times New Roman" w:hAnsi="Arial" w:cs="Arial"/>
          <w:color w:val="000000"/>
          <w:lang w:eastAsia="es-CO"/>
        </w:rPr>
      </w:pPr>
    </w:p>
    <w:p w14:paraId="3E9B039A" w14:textId="77138050" w:rsidR="00DF52CA" w:rsidRPr="002D532C" w:rsidRDefault="00DF52CA" w:rsidP="002D532C">
      <w:pPr>
        <w:shd w:val="clear" w:color="auto" w:fill="FFFFFF"/>
        <w:spacing w:after="0" w:line="257" w:lineRule="atLeast"/>
        <w:jc w:val="both"/>
        <w:rPr>
          <w:rFonts w:ascii="Arial" w:eastAsia="Times New Roman" w:hAnsi="Arial" w:cs="Arial"/>
          <w:b/>
          <w:bCs/>
          <w:color w:val="000000"/>
          <w:lang w:eastAsia="es-CO"/>
        </w:rPr>
      </w:pPr>
      <w:r w:rsidRPr="002D532C">
        <w:rPr>
          <w:rFonts w:ascii="Arial" w:eastAsia="Times New Roman" w:hAnsi="Arial" w:cs="Arial"/>
          <w:b/>
          <w:bCs/>
          <w:color w:val="000000"/>
          <w:lang w:eastAsia="es-CO"/>
        </w:rPr>
        <w:t xml:space="preserve">Respuesta </w:t>
      </w:r>
    </w:p>
    <w:p w14:paraId="422E7579" w14:textId="77777777" w:rsidR="00CB75A6" w:rsidRPr="002D532C" w:rsidRDefault="00CB75A6" w:rsidP="002D532C">
      <w:pPr>
        <w:shd w:val="clear" w:color="auto" w:fill="FFFFFF"/>
        <w:spacing w:after="0" w:line="257" w:lineRule="atLeast"/>
        <w:jc w:val="both"/>
        <w:rPr>
          <w:rFonts w:ascii="Arial" w:eastAsia="Times New Roman" w:hAnsi="Arial" w:cs="Arial"/>
          <w:b/>
          <w:bCs/>
          <w:color w:val="000000"/>
          <w:lang w:eastAsia="es-CO"/>
        </w:rPr>
      </w:pPr>
    </w:p>
    <w:p w14:paraId="52BF34AF" w14:textId="7944A2BA" w:rsidR="006322A3" w:rsidRPr="002D532C" w:rsidRDefault="00C93456" w:rsidP="002D532C">
      <w:pPr>
        <w:shd w:val="clear" w:color="auto" w:fill="FFFFFF"/>
        <w:spacing w:after="0" w:line="257" w:lineRule="atLeast"/>
        <w:jc w:val="both"/>
        <w:rPr>
          <w:rFonts w:ascii="Arial" w:eastAsia="Times New Roman" w:hAnsi="Arial" w:cs="Arial"/>
          <w:color w:val="000000"/>
          <w:lang w:eastAsia="es-CO"/>
        </w:rPr>
      </w:pPr>
      <w:r w:rsidRPr="002D532C">
        <w:rPr>
          <w:rFonts w:ascii="Arial" w:hAnsi="Arial" w:cs="Arial"/>
          <w:bCs/>
        </w:rPr>
        <w:lastRenderedPageBreak/>
        <w:t>En el periodo comprendido entre 2020 y 2024, las localidades de influencia de la Subred Norte representan el 36% de todos los casos notificados de VIH a nivel de Bogotá. Dentro de estas seis localidades, Suba es la que presenta el mayor número de casos, concentrando el 35% del total de la Subred Norte, lo que equivale a 2.815 casos. Le siguen Engativá, con el 24% de los casos (1.971 casos) y Usaquén, con el 14% (1.114 casos)</w:t>
      </w:r>
      <w:r w:rsidR="00CB75A6" w:rsidRPr="002D532C">
        <w:rPr>
          <w:rFonts w:ascii="Arial" w:hAnsi="Arial" w:cs="Arial"/>
          <w:bCs/>
        </w:rPr>
        <w:t>.</w:t>
      </w:r>
    </w:p>
    <w:p w14:paraId="3839AEFF" w14:textId="77777777" w:rsidR="00DF52CA" w:rsidRPr="002D532C" w:rsidRDefault="00DF52CA" w:rsidP="002D532C">
      <w:pPr>
        <w:shd w:val="clear" w:color="auto" w:fill="FFFFFF"/>
        <w:spacing w:after="0" w:line="257" w:lineRule="atLeast"/>
        <w:ind w:left="66"/>
        <w:jc w:val="both"/>
        <w:rPr>
          <w:rFonts w:ascii="Arial" w:eastAsia="Times New Roman" w:hAnsi="Arial" w:cs="Arial"/>
          <w:color w:val="000000"/>
          <w:lang w:eastAsia="es-CO"/>
        </w:rPr>
      </w:pPr>
    </w:p>
    <w:p w14:paraId="6C829058" w14:textId="0B5D78E7" w:rsidR="005B7EAE" w:rsidRPr="002D532C" w:rsidRDefault="005B7EAE" w:rsidP="002D532C">
      <w:pPr>
        <w:numPr>
          <w:ilvl w:val="0"/>
          <w:numId w:val="7"/>
        </w:numPr>
        <w:shd w:val="clear" w:color="auto" w:fill="FFFFFF"/>
        <w:spacing w:after="0" w:line="257" w:lineRule="atLeast"/>
        <w:ind w:left="426"/>
        <w:jc w:val="both"/>
        <w:rPr>
          <w:rFonts w:ascii="Arial" w:eastAsia="Times New Roman" w:hAnsi="Arial" w:cs="Arial"/>
          <w:lang w:eastAsia="es-CO"/>
        </w:rPr>
      </w:pPr>
      <w:r w:rsidRPr="002D532C">
        <w:rPr>
          <w:rFonts w:ascii="Arial" w:eastAsia="Times New Roman" w:hAnsi="Arial" w:cs="Arial"/>
          <w:lang w:eastAsia="es-CO"/>
        </w:rPr>
        <w:t xml:space="preserve">¿Qué parte de la población bogotana actualmente consume PrEP/PEP? </w:t>
      </w:r>
    </w:p>
    <w:p w14:paraId="1BF3F682" w14:textId="77777777" w:rsidR="00CB75A6" w:rsidRPr="002D532C" w:rsidRDefault="00CB75A6" w:rsidP="002D532C">
      <w:pPr>
        <w:shd w:val="clear" w:color="auto" w:fill="FFFFFF"/>
        <w:spacing w:after="0" w:line="257" w:lineRule="atLeast"/>
        <w:ind w:left="426"/>
        <w:jc w:val="both"/>
        <w:rPr>
          <w:rFonts w:ascii="Arial" w:eastAsia="Times New Roman" w:hAnsi="Arial" w:cs="Arial"/>
          <w:lang w:eastAsia="es-CO"/>
        </w:rPr>
      </w:pPr>
    </w:p>
    <w:p w14:paraId="285D9E87" w14:textId="77777777" w:rsidR="00534DAD" w:rsidRPr="002D532C" w:rsidRDefault="00534DAD" w:rsidP="002D532C">
      <w:pPr>
        <w:shd w:val="clear" w:color="auto" w:fill="FFFFFF"/>
        <w:spacing w:after="0" w:line="257" w:lineRule="atLeast"/>
        <w:jc w:val="both"/>
        <w:rPr>
          <w:rFonts w:ascii="Arial" w:eastAsia="Times New Roman" w:hAnsi="Arial" w:cs="Arial"/>
          <w:b/>
          <w:bCs/>
          <w:color w:val="000000"/>
          <w:lang w:eastAsia="es-CO"/>
        </w:rPr>
      </w:pPr>
      <w:r w:rsidRPr="002D532C">
        <w:rPr>
          <w:rFonts w:ascii="Arial" w:eastAsia="Times New Roman" w:hAnsi="Arial" w:cs="Arial"/>
          <w:b/>
          <w:bCs/>
          <w:color w:val="000000"/>
          <w:lang w:eastAsia="es-CO"/>
        </w:rPr>
        <w:t xml:space="preserve">Respuesta </w:t>
      </w:r>
    </w:p>
    <w:p w14:paraId="31991B35" w14:textId="77777777" w:rsidR="006322A3" w:rsidRPr="002D532C" w:rsidRDefault="006322A3" w:rsidP="002D532C">
      <w:pPr>
        <w:shd w:val="clear" w:color="auto" w:fill="FFFFFF"/>
        <w:spacing w:after="0" w:line="257" w:lineRule="atLeast"/>
        <w:ind w:left="66"/>
        <w:jc w:val="both"/>
        <w:rPr>
          <w:rFonts w:ascii="Arial" w:eastAsia="Times New Roman" w:hAnsi="Arial" w:cs="Arial"/>
          <w:color w:val="000000"/>
          <w:lang w:eastAsia="es-CO"/>
        </w:rPr>
      </w:pPr>
    </w:p>
    <w:p w14:paraId="10137F32" w14:textId="50AFF85C" w:rsidR="002039BD" w:rsidRPr="002D532C" w:rsidRDefault="002039BD" w:rsidP="002D532C">
      <w:pPr>
        <w:shd w:val="clear" w:color="auto" w:fill="FFFFFF"/>
        <w:spacing w:after="0" w:line="240" w:lineRule="auto"/>
        <w:ind w:left="68"/>
        <w:jc w:val="both"/>
        <w:rPr>
          <w:rFonts w:ascii="Arial" w:eastAsia="Times New Roman" w:hAnsi="Arial" w:cs="Arial"/>
          <w:lang w:val="es-419" w:eastAsia="es-419"/>
        </w:rPr>
      </w:pPr>
      <w:r w:rsidRPr="002D532C">
        <w:rPr>
          <w:rFonts w:ascii="Arial" w:eastAsia="Times New Roman" w:hAnsi="Arial" w:cs="Arial"/>
          <w:lang w:val="es-419" w:eastAsia="es-419"/>
        </w:rPr>
        <w:t>Actualmente, la implementación de la profilaxis preexposición (PrEP) se encuentra en proceso dentro de la Subred Norte. La captación de usuarios interesados en acceder a este tratamiento se realiza principalmente a través de los servicios ambulatorios y de urgencias, estos usuarios están siendo remitidos a sus respectivas Entidades Administradoras de Planes de Beneficio (EAPB), las cuales se encargan de direccionarlos a las Instituciones Prestadoras de Servicios de Salud (IPS) habilitadas para ofrecer PrEP.</w:t>
      </w:r>
    </w:p>
    <w:p w14:paraId="57035264" w14:textId="77777777" w:rsidR="002039BD" w:rsidRPr="002D532C" w:rsidRDefault="002039BD" w:rsidP="002D532C">
      <w:pPr>
        <w:shd w:val="clear" w:color="auto" w:fill="FFFFFF"/>
        <w:spacing w:after="0" w:line="240" w:lineRule="auto"/>
        <w:ind w:left="68"/>
        <w:jc w:val="both"/>
        <w:rPr>
          <w:rFonts w:ascii="Arial" w:eastAsia="Times New Roman" w:hAnsi="Arial" w:cs="Arial"/>
          <w:lang w:val="es-419" w:eastAsia="es-419"/>
        </w:rPr>
      </w:pPr>
    </w:p>
    <w:p w14:paraId="1E4498A1" w14:textId="357CAD21" w:rsidR="00534DAD" w:rsidRPr="002D532C" w:rsidRDefault="002039BD" w:rsidP="002D532C">
      <w:pPr>
        <w:shd w:val="clear" w:color="auto" w:fill="FFFFFF"/>
        <w:spacing w:after="0" w:line="240" w:lineRule="auto"/>
        <w:ind w:left="68"/>
        <w:jc w:val="both"/>
        <w:rPr>
          <w:rFonts w:ascii="Arial" w:eastAsia="Times New Roman" w:hAnsi="Arial" w:cs="Arial"/>
          <w:color w:val="000000"/>
          <w:lang w:eastAsia="es-CO"/>
        </w:rPr>
      </w:pPr>
      <w:r w:rsidRPr="002D532C">
        <w:rPr>
          <w:rFonts w:ascii="Arial" w:eastAsia="Times New Roman" w:hAnsi="Arial" w:cs="Arial"/>
          <w:lang w:val="es-419" w:eastAsia="es-419"/>
        </w:rPr>
        <w:t>En cuanto a la profilaxis posexposición (PEP), los servicios de urgencias de la Subred Norte están habilitados para la entrega inmediata de los kits pos contacto (denominados código blanco). Posteriormente, los usuarios continúan su tratamiento a través de las EAPB correspondientes, las cuales garantizan la continuidad del manejo clínico indicado tras la exposición.</w:t>
      </w:r>
    </w:p>
    <w:p w14:paraId="40032860" w14:textId="77777777" w:rsidR="00534DAD" w:rsidRPr="002D532C" w:rsidRDefault="00534DAD" w:rsidP="002D532C">
      <w:pPr>
        <w:shd w:val="clear" w:color="auto" w:fill="FFFFFF"/>
        <w:spacing w:after="0" w:line="257" w:lineRule="atLeast"/>
        <w:ind w:left="66"/>
        <w:jc w:val="both"/>
        <w:rPr>
          <w:rFonts w:ascii="Arial" w:eastAsia="Times New Roman" w:hAnsi="Arial" w:cs="Arial"/>
          <w:color w:val="000000"/>
          <w:lang w:eastAsia="es-CO"/>
        </w:rPr>
      </w:pPr>
    </w:p>
    <w:p w14:paraId="67E86412" w14:textId="5923C10A" w:rsidR="005B7EAE" w:rsidRPr="002D532C" w:rsidRDefault="005B7EAE" w:rsidP="002D532C">
      <w:pPr>
        <w:numPr>
          <w:ilvl w:val="0"/>
          <w:numId w:val="7"/>
        </w:numPr>
        <w:shd w:val="clear" w:color="auto" w:fill="FFFFFF"/>
        <w:spacing w:after="0" w:line="257" w:lineRule="atLeast"/>
        <w:ind w:left="426"/>
        <w:jc w:val="both"/>
        <w:rPr>
          <w:rFonts w:ascii="Arial" w:eastAsia="Times New Roman" w:hAnsi="Arial" w:cs="Arial"/>
          <w:color w:val="000000"/>
          <w:lang w:eastAsia="es-CO"/>
        </w:rPr>
      </w:pPr>
      <w:r w:rsidRPr="002D532C">
        <w:rPr>
          <w:rFonts w:ascii="Arial" w:eastAsia="Times New Roman" w:hAnsi="Arial" w:cs="Arial"/>
          <w:color w:val="000000"/>
          <w:lang w:eastAsia="es-CO"/>
        </w:rPr>
        <w:t>Informe cuáles son los porcentajes poblacionales que actualmente reciben tratamiento antirretroviral.</w:t>
      </w:r>
      <w:r w:rsidRPr="002D532C">
        <w:rPr>
          <w:rFonts w:ascii="Arial" w:eastAsia="Times New Roman" w:hAnsi="Arial" w:cs="Arial"/>
          <w:b/>
          <w:bCs/>
          <w:color w:val="000000"/>
          <w:lang w:eastAsia="es-CO"/>
        </w:rPr>
        <w:t> </w:t>
      </w:r>
    </w:p>
    <w:p w14:paraId="4BB1860E" w14:textId="77777777" w:rsidR="00CB75A6" w:rsidRPr="002D532C" w:rsidRDefault="00CB75A6" w:rsidP="002D532C">
      <w:pPr>
        <w:shd w:val="clear" w:color="auto" w:fill="FFFFFF"/>
        <w:spacing w:after="0" w:line="257" w:lineRule="atLeast"/>
        <w:ind w:left="426"/>
        <w:jc w:val="both"/>
        <w:rPr>
          <w:rFonts w:ascii="Arial" w:eastAsia="Times New Roman" w:hAnsi="Arial" w:cs="Arial"/>
          <w:color w:val="000000"/>
          <w:lang w:eastAsia="es-CO"/>
        </w:rPr>
      </w:pPr>
    </w:p>
    <w:p w14:paraId="231EF023" w14:textId="44424574" w:rsidR="00CB75A6" w:rsidRPr="002D532C" w:rsidRDefault="003C6479" w:rsidP="002D532C">
      <w:pPr>
        <w:shd w:val="clear" w:color="auto" w:fill="FFFFFF"/>
        <w:spacing w:after="0" w:line="257" w:lineRule="atLeast"/>
        <w:jc w:val="both"/>
        <w:rPr>
          <w:rFonts w:ascii="Arial" w:eastAsia="Times New Roman" w:hAnsi="Arial" w:cs="Arial"/>
          <w:b/>
          <w:bCs/>
          <w:color w:val="000000"/>
          <w:lang w:eastAsia="es-CO"/>
        </w:rPr>
      </w:pPr>
      <w:r w:rsidRPr="002D532C">
        <w:rPr>
          <w:rFonts w:ascii="Arial" w:eastAsia="Times New Roman" w:hAnsi="Arial" w:cs="Arial"/>
          <w:b/>
          <w:bCs/>
          <w:color w:val="000000"/>
          <w:lang w:eastAsia="es-CO"/>
        </w:rPr>
        <w:t>Respuesta:</w:t>
      </w:r>
    </w:p>
    <w:p w14:paraId="3D6F5A64" w14:textId="77777777" w:rsidR="00CB75A6" w:rsidRPr="002D532C" w:rsidRDefault="00CB75A6" w:rsidP="002D532C">
      <w:pPr>
        <w:shd w:val="clear" w:color="auto" w:fill="FFFFFF"/>
        <w:spacing w:after="0" w:line="257" w:lineRule="atLeast"/>
        <w:jc w:val="both"/>
        <w:rPr>
          <w:rFonts w:ascii="Arial" w:eastAsia="Times New Roman" w:hAnsi="Arial" w:cs="Arial"/>
          <w:b/>
          <w:bCs/>
          <w:color w:val="000000"/>
          <w:lang w:eastAsia="es-CO"/>
        </w:rPr>
      </w:pPr>
    </w:p>
    <w:p w14:paraId="2E006307" w14:textId="02BAE8CD" w:rsidR="003C6479" w:rsidRPr="002D532C" w:rsidRDefault="003C6479" w:rsidP="002D532C">
      <w:pPr>
        <w:shd w:val="clear" w:color="auto" w:fill="FFFFFF"/>
        <w:spacing w:after="0" w:line="257" w:lineRule="atLeast"/>
        <w:jc w:val="both"/>
        <w:rPr>
          <w:rFonts w:ascii="Arial" w:eastAsia="Times New Roman" w:hAnsi="Arial" w:cs="Arial"/>
          <w:color w:val="000000"/>
          <w:lang w:eastAsia="es-CO"/>
        </w:rPr>
      </w:pPr>
      <w:r w:rsidRPr="002D532C">
        <w:rPr>
          <w:rFonts w:ascii="Arial" w:eastAsia="Times New Roman" w:hAnsi="Arial" w:cs="Arial"/>
          <w:color w:val="000000" w:themeColor="text1"/>
          <w:bdr w:val="none" w:sz="0" w:space="0" w:color="auto" w:frame="1"/>
          <w:shd w:val="clear" w:color="auto" w:fill="FFFFFF"/>
          <w:lang w:eastAsia="es-CO"/>
        </w:rPr>
        <w:t>La Subred Integrada de Servicios de Salud Norte no cuenta con programa especial, por lo tanto, no se realiza entrega de tratamiento retroviral ya que este es entregado por cada EAPB a sus afiliados</w:t>
      </w:r>
      <w:r w:rsidR="00CB75A6" w:rsidRPr="002D532C">
        <w:rPr>
          <w:rFonts w:ascii="Arial" w:eastAsia="Times New Roman" w:hAnsi="Arial" w:cs="Arial"/>
          <w:color w:val="000000" w:themeColor="text1"/>
          <w:bdr w:val="none" w:sz="0" w:space="0" w:color="auto" w:frame="1"/>
          <w:shd w:val="clear" w:color="auto" w:fill="FFFFFF"/>
          <w:lang w:eastAsia="es-CO"/>
        </w:rPr>
        <w:t>.</w:t>
      </w:r>
    </w:p>
    <w:p w14:paraId="733F55CD" w14:textId="77777777" w:rsidR="000F13DF" w:rsidRPr="002D532C" w:rsidRDefault="000F13DF" w:rsidP="002D532C">
      <w:pPr>
        <w:shd w:val="clear" w:color="auto" w:fill="FFFFFF"/>
        <w:spacing w:after="0" w:line="257" w:lineRule="atLeast"/>
        <w:jc w:val="both"/>
        <w:rPr>
          <w:rFonts w:ascii="Arial" w:eastAsia="Times New Roman" w:hAnsi="Arial" w:cs="Arial"/>
          <w:color w:val="000000"/>
          <w:lang w:eastAsia="es-CO"/>
        </w:rPr>
      </w:pPr>
    </w:p>
    <w:p w14:paraId="2EADBCD1" w14:textId="73EB93B4" w:rsidR="0080170D" w:rsidRPr="002D532C" w:rsidRDefault="005B7EAE" w:rsidP="002D532C">
      <w:pPr>
        <w:numPr>
          <w:ilvl w:val="0"/>
          <w:numId w:val="7"/>
        </w:numPr>
        <w:shd w:val="clear" w:color="auto" w:fill="FFFFFF"/>
        <w:spacing w:after="0" w:line="240" w:lineRule="auto"/>
        <w:ind w:left="426"/>
        <w:jc w:val="both"/>
        <w:rPr>
          <w:rFonts w:ascii="Arial" w:eastAsia="Times New Roman" w:hAnsi="Arial" w:cs="Arial"/>
          <w:color w:val="000000"/>
          <w:lang w:eastAsia="es-CO"/>
        </w:rPr>
      </w:pPr>
      <w:r w:rsidRPr="002D532C">
        <w:rPr>
          <w:rFonts w:ascii="Arial" w:eastAsia="Times New Roman" w:hAnsi="Arial" w:cs="Arial"/>
          <w:color w:val="000000"/>
          <w:lang w:eastAsia="es-CO"/>
        </w:rPr>
        <w:t>Conforme a la pregunta anterior, ¿Discriminan por EPS a qué personas se les brinda estos medicamentos? </w:t>
      </w:r>
    </w:p>
    <w:p w14:paraId="2F8E5761" w14:textId="77777777" w:rsidR="00CB75A6" w:rsidRPr="002D532C" w:rsidRDefault="00CB75A6" w:rsidP="002D532C">
      <w:pPr>
        <w:shd w:val="clear" w:color="auto" w:fill="FFFFFF"/>
        <w:spacing w:after="0" w:line="240" w:lineRule="auto"/>
        <w:ind w:left="426"/>
        <w:jc w:val="both"/>
        <w:rPr>
          <w:rFonts w:ascii="Arial" w:eastAsia="Times New Roman" w:hAnsi="Arial" w:cs="Arial"/>
          <w:color w:val="000000"/>
          <w:lang w:eastAsia="es-CO"/>
        </w:rPr>
      </w:pPr>
    </w:p>
    <w:p w14:paraId="0B9C46A5" w14:textId="5781BBAA" w:rsidR="003C6479" w:rsidRPr="002D532C" w:rsidRDefault="003C6479" w:rsidP="002D532C">
      <w:pPr>
        <w:shd w:val="clear" w:color="auto" w:fill="FFFFFF"/>
        <w:spacing w:after="0" w:line="240" w:lineRule="auto"/>
        <w:jc w:val="both"/>
        <w:rPr>
          <w:rFonts w:ascii="Arial" w:eastAsia="Times New Roman" w:hAnsi="Arial" w:cs="Arial"/>
          <w:color w:val="000000"/>
          <w:lang w:eastAsia="es-CO"/>
        </w:rPr>
      </w:pPr>
      <w:r w:rsidRPr="002D532C">
        <w:rPr>
          <w:rFonts w:ascii="Arial" w:eastAsia="Times New Roman" w:hAnsi="Arial" w:cs="Arial"/>
          <w:b/>
          <w:bCs/>
          <w:color w:val="000000"/>
          <w:lang w:eastAsia="es-CO"/>
        </w:rPr>
        <w:t>Respuesta:</w:t>
      </w:r>
    </w:p>
    <w:p w14:paraId="270955A2" w14:textId="6CBB5487" w:rsidR="00CB75A6" w:rsidRPr="002D532C" w:rsidRDefault="00CB75A6" w:rsidP="002D532C">
      <w:pPr>
        <w:shd w:val="clear" w:color="auto" w:fill="FFFFFF"/>
        <w:spacing w:after="0" w:line="240" w:lineRule="auto"/>
        <w:jc w:val="both"/>
        <w:rPr>
          <w:rFonts w:ascii="Arial" w:eastAsia="Times New Roman" w:hAnsi="Arial" w:cs="Arial"/>
          <w:color w:val="000000"/>
          <w:lang w:eastAsia="es-CO"/>
        </w:rPr>
      </w:pPr>
    </w:p>
    <w:p w14:paraId="58672BBB" w14:textId="77777777" w:rsidR="003C6479" w:rsidRPr="002D532C" w:rsidRDefault="003C6479" w:rsidP="002D532C">
      <w:pPr>
        <w:shd w:val="clear" w:color="auto" w:fill="FFFFFF"/>
        <w:spacing w:after="0" w:line="240" w:lineRule="auto"/>
        <w:jc w:val="both"/>
        <w:textAlignment w:val="baseline"/>
        <w:rPr>
          <w:rFonts w:ascii="Arial" w:eastAsia="Times New Roman" w:hAnsi="Arial" w:cs="Arial"/>
          <w:iCs/>
          <w:color w:val="000000"/>
          <w:bdr w:val="none" w:sz="0" w:space="0" w:color="auto" w:frame="1"/>
          <w:shd w:val="clear" w:color="auto" w:fill="FFFFFF"/>
          <w:lang w:eastAsia="es-CO"/>
        </w:rPr>
      </w:pPr>
      <w:r w:rsidRPr="002D532C">
        <w:rPr>
          <w:rFonts w:ascii="Arial" w:eastAsia="Times New Roman" w:hAnsi="Arial" w:cs="Arial"/>
          <w:iCs/>
          <w:color w:val="000000"/>
          <w:bdr w:val="none" w:sz="0" w:space="0" w:color="auto" w:frame="1"/>
          <w:shd w:val="clear" w:color="auto" w:fill="FFFFFF"/>
          <w:lang w:eastAsia="es-CO"/>
        </w:rPr>
        <w:t>En la Subred Norte, no se cuenta con programa especial para tratamiento antiretroviral.</w:t>
      </w:r>
    </w:p>
    <w:p w14:paraId="45B04240" w14:textId="77777777" w:rsidR="003C6479" w:rsidRPr="002D532C" w:rsidRDefault="003C6479" w:rsidP="002D532C">
      <w:pPr>
        <w:shd w:val="clear" w:color="auto" w:fill="FFFFFF"/>
        <w:spacing w:after="0" w:line="257" w:lineRule="atLeast"/>
        <w:jc w:val="both"/>
        <w:rPr>
          <w:rFonts w:ascii="Arial" w:eastAsia="Times New Roman" w:hAnsi="Arial" w:cs="Arial"/>
          <w:color w:val="000000"/>
          <w:lang w:eastAsia="es-CO"/>
        </w:rPr>
      </w:pPr>
    </w:p>
    <w:p w14:paraId="2F70A5A0" w14:textId="69A6A086" w:rsidR="00A15159" w:rsidRPr="002D532C" w:rsidRDefault="005B7EAE" w:rsidP="002D532C">
      <w:pPr>
        <w:numPr>
          <w:ilvl w:val="0"/>
          <w:numId w:val="7"/>
        </w:numPr>
        <w:shd w:val="clear" w:color="auto" w:fill="FFFFFF"/>
        <w:spacing w:after="0" w:line="257" w:lineRule="atLeast"/>
        <w:ind w:left="426"/>
        <w:jc w:val="both"/>
        <w:rPr>
          <w:rFonts w:ascii="Arial" w:eastAsia="Times New Roman" w:hAnsi="Arial" w:cs="Arial"/>
          <w:color w:val="000000"/>
          <w:lang w:eastAsia="es-CO"/>
        </w:rPr>
      </w:pPr>
      <w:r w:rsidRPr="002D532C">
        <w:rPr>
          <w:rFonts w:ascii="Arial" w:eastAsia="Times New Roman" w:hAnsi="Arial" w:cs="Arial"/>
          <w:color w:val="000000"/>
          <w:lang w:eastAsia="es-CO"/>
        </w:rPr>
        <w:t>Conforme a la crisis de medicamentos que existe en el Sistema de Salud Colombiano, ¿Cuál es el número de individuos que no ha recibido tratamiento por demora de entrega de los mismos? </w:t>
      </w:r>
    </w:p>
    <w:p w14:paraId="38691AA8" w14:textId="77777777" w:rsidR="00CB75A6" w:rsidRPr="002D532C" w:rsidRDefault="00CB75A6" w:rsidP="002D532C">
      <w:pPr>
        <w:shd w:val="clear" w:color="auto" w:fill="FFFFFF"/>
        <w:spacing w:after="0" w:line="257" w:lineRule="atLeast"/>
        <w:ind w:left="426"/>
        <w:jc w:val="both"/>
        <w:rPr>
          <w:rFonts w:ascii="Arial" w:eastAsia="Times New Roman" w:hAnsi="Arial" w:cs="Arial"/>
          <w:color w:val="000000"/>
          <w:lang w:eastAsia="es-CO"/>
        </w:rPr>
      </w:pPr>
    </w:p>
    <w:p w14:paraId="2411AE2A" w14:textId="3330810A" w:rsidR="00DE2F8F" w:rsidRPr="002D532C" w:rsidRDefault="00DE2F8F" w:rsidP="002D532C">
      <w:pPr>
        <w:shd w:val="clear" w:color="auto" w:fill="FFFFFF"/>
        <w:spacing w:after="0" w:line="240" w:lineRule="auto"/>
        <w:jc w:val="both"/>
        <w:rPr>
          <w:rFonts w:ascii="Arial" w:eastAsia="Times New Roman" w:hAnsi="Arial" w:cs="Arial"/>
          <w:b/>
          <w:bCs/>
          <w:color w:val="000000"/>
          <w:lang w:eastAsia="es-CO"/>
        </w:rPr>
      </w:pPr>
      <w:r w:rsidRPr="002D532C">
        <w:rPr>
          <w:rFonts w:ascii="Arial" w:eastAsia="Times New Roman" w:hAnsi="Arial" w:cs="Arial"/>
          <w:b/>
          <w:bCs/>
          <w:color w:val="000000"/>
          <w:lang w:eastAsia="es-CO"/>
        </w:rPr>
        <w:t>Respuesta:</w:t>
      </w:r>
    </w:p>
    <w:p w14:paraId="66D32696" w14:textId="77777777" w:rsidR="00CB75A6" w:rsidRPr="002D532C" w:rsidRDefault="00CB75A6" w:rsidP="002D532C">
      <w:pPr>
        <w:shd w:val="clear" w:color="auto" w:fill="FFFFFF"/>
        <w:spacing w:after="0" w:line="240" w:lineRule="auto"/>
        <w:jc w:val="both"/>
        <w:rPr>
          <w:rFonts w:ascii="Arial" w:eastAsia="Times New Roman" w:hAnsi="Arial" w:cs="Arial"/>
          <w:color w:val="000000"/>
          <w:lang w:eastAsia="es-CO"/>
        </w:rPr>
      </w:pPr>
    </w:p>
    <w:p w14:paraId="09044D08" w14:textId="77777777" w:rsidR="00B9164C" w:rsidRPr="002D532C" w:rsidRDefault="00B9164C" w:rsidP="002D532C">
      <w:pPr>
        <w:pStyle w:val="Default"/>
        <w:jc w:val="both"/>
        <w:rPr>
          <w:rFonts w:ascii="Arial" w:hAnsi="Arial" w:cs="Arial"/>
          <w:sz w:val="22"/>
          <w:szCs w:val="22"/>
        </w:rPr>
      </w:pPr>
      <w:r w:rsidRPr="002D532C">
        <w:rPr>
          <w:rFonts w:ascii="Arial" w:hAnsi="Arial" w:cs="Arial"/>
          <w:sz w:val="22"/>
          <w:szCs w:val="22"/>
        </w:rPr>
        <w:lastRenderedPageBreak/>
        <w:t>Se informa que en la Subred Integrada de Servicios de Salud Norte ESE, a nivel hospitalario la entrega de los medicamentos retrovirales no ha presentado novedad ya que se han contado con existencias que permiten responder a la demanda.</w:t>
      </w:r>
    </w:p>
    <w:p w14:paraId="06480B1A" w14:textId="77777777" w:rsidR="000807CA" w:rsidRPr="002D532C" w:rsidRDefault="000807CA" w:rsidP="002D532C">
      <w:pPr>
        <w:pStyle w:val="Default"/>
        <w:jc w:val="both"/>
        <w:rPr>
          <w:rFonts w:ascii="Arial" w:hAnsi="Arial" w:cs="Arial"/>
          <w:sz w:val="22"/>
          <w:szCs w:val="22"/>
        </w:rPr>
      </w:pPr>
    </w:p>
    <w:p w14:paraId="050BDE1D" w14:textId="77777777" w:rsidR="00B9164C" w:rsidRPr="002D532C" w:rsidRDefault="00B9164C" w:rsidP="002D532C">
      <w:pPr>
        <w:pStyle w:val="Default"/>
        <w:jc w:val="both"/>
        <w:rPr>
          <w:rFonts w:ascii="Arial" w:hAnsi="Arial" w:cs="Arial"/>
          <w:sz w:val="22"/>
          <w:szCs w:val="22"/>
        </w:rPr>
      </w:pPr>
      <w:r w:rsidRPr="002D532C">
        <w:rPr>
          <w:rFonts w:ascii="Arial" w:hAnsi="Arial" w:cs="Arial"/>
          <w:sz w:val="22"/>
          <w:szCs w:val="22"/>
        </w:rPr>
        <w:t>En cuanto a la entrega ambulatoria, no se cuenta con datos de entrega de estos medicamentos ya que no se cuenta con algún contrato con alguna EAPB para tal fin.</w:t>
      </w:r>
    </w:p>
    <w:p w14:paraId="69F3221D" w14:textId="77777777" w:rsidR="00A15159" w:rsidRPr="002D532C" w:rsidRDefault="00A15159" w:rsidP="002D532C">
      <w:pPr>
        <w:shd w:val="clear" w:color="auto" w:fill="FFFFFF"/>
        <w:spacing w:after="0" w:line="257" w:lineRule="atLeast"/>
        <w:jc w:val="both"/>
        <w:rPr>
          <w:rFonts w:ascii="Arial" w:eastAsia="Times New Roman" w:hAnsi="Arial" w:cs="Arial"/>
          <w:color w:val="000000"/>
          <w:lang w:eastAsia="es-CO"/>
        </w:rPr>
      </w:pPr>
    </w:p>
    <w:p w14:paraId="77076459" w14:textId="3396A55E" w:rsidR="002B4693" w:rsidRPr="002D532C" w:rsidRDefault="005B7EAE" w:rsidP="002D532C">
      <w:pPr>
        <w:pStyle w:val="Prrafodelista"/>
        <w:numPr>
          <w:ilvl w:val="0"/>
          <w:numId w:val="7"/>
        </w:numPr>
        <w:shd w:val="clear" w:color="auto" w:fill="FFFFFF"/>
        <w:spacing w:after="0" w:line="257" w:lineRule="atLeast"/>
        <w:jc w:val="both"/>
        <w:rPr>
          <w:rFonts w:ascii="Arial" w:eastAsia="Times New Roman" w:hAnsi="Arial" w:cs="Arial"/>
          <w:lang w:eastAsia="es-CO"/>
        </w:rPr>
      </w:pPr>
      <w:r w:rsidRPr="002D532C">
        <w:rPr>
          <w:rFonts w:ascii="Arial" w:eastAsia="Times New Roman" w:hAnsi="Arial" w:cs="Arial"/>
          <w:lang w:eastAsia="es-CO"/>
        </w:rPr>
        <w:t>¿Cuál es el número de derechos de petición y de tutelas que han recibido al interior de su entidad con respecto a la entrega de medicamentos? </w:t>
      </w:r>
    </w:p>
    <w:p w14:paraId="2FD8F60F" w14:textId="77777777" w:rsidR="00CB75A6" w:rsidRPr="002D532C" w:rsidRDefault="00CB75A6" w:rsidP="002D532C">
      <w:pPr>
        <w:shd w:val="clear" w:color="auto" w:fill="FFFFFF"/>
        <w:spacing w:after="0" w:line="257" w:lineRule="atLeast"/>
        <w:ind w:left="426"/>
        <w:jc w:val="both"/>
        <w:rPr>
          <w:rFonts w:ascii="Arial" w:eastAsia="Times New Roman" w:hAnsi="Arial" w:cs="Arial"/>
          <w:lang w:eastAsia="es-CO"/>
        </w:rPr>
      </w:pPr>
    </w:p>
    <w:p w14:paraId="741C1C41" w14:textId="6B9D8873" w:rsidR="00CB75A6" w:rsidRPr="002D532C" w:rsidRDefault="0021256C" w:rsidP="002D532C">
      <w:pPr>
        <w:shd w:val="clear" w:color="auto" w:fill="FFFFFF"/>
        <w:spacing w:after="0" w:line="240" w:lineRule="auto"/>
        <w:jc w:val="both"/>
        <w:rPr>
          <w:rFonts w:ascii="Arial" w:eastAsia="Times New Roman" w:hAnsi="Arial" w:cs="Arial"/>
          <w:b/>
          <w:bCs/>
          <w:color w:val="000000"/>
          <w:lang w:eastAsia="es-CO"/>
        </w:rPr>
      </w:pPr>
      <w:r w:rsidRPr="002D532C">
        <w:rPr>
          <w:rFonts w:ascii="Arial" w:eastAsia="Times New Roman" w:hAnsi="Arial" w:cs="Arial"/>
          <w:b/>
          <w:bCs/>
          <w:color w:val="000000"/>
          <w:lang w:eastAsia="es-CO"/>
        </w:rPr>
        <w:t>Respuesta:</w:t>
      </w:r>
    </w:p>
    <w:p w14:paraId="152CB6B4" w14:textId="5F7B6C65" w:rsidR="00CB75A6" w:rsidRPr="002D532C" w:rsidRDefault="00CB75A6" w:rsidP="002D532C">
      <w:pPr>
        <w:shd w:val="clear" w:color="auto" w:fill="FFFFFF"/>
        <w:spacing w:after="0" w:line="240" w:lineRule="auto"/>
        <w:jc w:val="both"/>
        <w:textAlignment w:val="baseline"/>
        <w:rPr>
          <w:rFonts w:ascii="Arial" w:eastAsia="Times New Roman" w:hAnsi="Arial" w:cs="Arial"/>
          <w:b/>
          <w:bCs/>
          <w:lang w:eastAsia="es-CO"/>
        </w:rPr>
      </w:pPr>
    </w:p>
    <w:p w14:paraId="304D9D19" w14:textId="6F69CB8A" w:rsidR="004F5217" w:rsidRPr="002D532C" w:rsidRDefault="004F5217" w:rsidP="002D532C">
      <w:pPr>
        <w:shd w:val="clear" w:color="auto" w:fill="FFFFFF"/>
        <w:spacing w:after="0" w:line="240" w:lineRule="auto"/>
        <w:jc w:val="both"/>
        <w:textAlignment w:val="baseline"/>
        <w:divId w:val="1314795112"/>
        <w:rPr>
          <w:rFonts w:ascii="Arial" w:eastAsia="Times New Roman" w:hAnsi="Arial" w:cs="Arial"/>
          <w:lang w:eastAsia="es-CO"/>
        </w:rPr>
      </w:pPr>
      <w:r w:rsidRPr="002D532C">
        <w:rPr>
          <w:rFonts w:ascii="Arial" w:eastAsia="Times New Roman" w:hAnsi="Arial" w:cs="Arial"/>
          <w:lang w:eastAsia="es-CO"/>
        </w:rPr>
        <w:t>La Subred Integrada de Servicios de Salud Norte informa que, según los registros de la Oficina Jurídica, no se han recibido derechos de petición ni acciones de tutela relacionados con la entrega de medicamentos</w:t>
      </w:r>
      <w:r w:rsidR="00CB75A6" w:rsidRPr="002D532C">
        <w:rPr>
          <w:rFonts w:ascii="Arial" w:eastAsia="Times New Roman" w:hAnsi="Arial" w:cs="Arial"/>
          <w:lang w:eastAsia="es-CO"/>
        </w:rPr>
        <w:t>.</w:t>
      </w:r>
    </w:p>
    <w:p w14:paraId="0CB9BB75" w14:textId="77777777" w:rsidR="00823391" w:rsidRPr="002D532C" w:rsidRDefault="00823391" w:rsidP="002D532C">
      <w:pPr>
        <w:shd w:val="clear" w:color="auto" w:fill="FFFFFF"/>
        <w:spacing w:after="0" w:line="240" w:lineRule="auto"/>
        <w:jc w:val="both"/>
        <w:textAlignment w:val="baseline"/>
        <w:divId w:val="1314795112"/>
        <w:rPr>
          <w:rFonts w:ascii="Arial" w:eastAsia="Times New Roman" w:hAnsi="Arial" w:cs="Arial"/>
          <w:lang w:eastAsia="es-CO"/>
        </w:rPr>
      </w:pPr>
    </w:p>
    <w:p w14:paraId="056E764A" w14:textId="63A8A007" w:rsidR="00B924A9" w:rsidRPr="002D532C" w:rsidRDefault="004F5217" w:rsidP="002D532C">
      <w:pPr>
        <w:shd w:val="clear" w:color="auto" w:fill="FFFFFF"/>
        <w:spacing w:after="0" w:line="240" w:lineRule="auto"/>
        <w:jc w:val="both"/>
        <w:textAlignment w:val="baseline"/>
        <w:divId w:val="1314795112"/>
        <w:rPr>
          <w:rFonts w:ascii="Arial" w:eastAsia="Times New Roman" w:hAnsi="Arial" w:cs="Arial"/>
          <w:lang w:eastAsia="es-CO"/>
        </w:rPr>
      </w:pPr>
      <w:r w:rsidRPr="002D532C">
        <w:rPr>
          <w:rFonts w:ascii="Arial" w:eastAsia="Times New Roman" w:hAnsi="Arial" w:cs="Arial"/>
          <w:lang w:eastAsia="es-CO"/>
        </w:rPr>
        <w:t>Es importante precisar que la Subred Norte no tiene a su cargo la entrega de medicamentos del programa de VIH, ya que este trámite corresponde directamente a la Entidad Administradora de Planes de Beneficio (EAPB). No obstante, se identificó una solicitud relacionada con la entrega de medicamentos, la cual fue cerrada por falta de competencia, dado que la EAPB Capital Salud ya la tenía en trámite y fue la entidad encargada de brindar la respuesta al usuario.</w:t>
      </w:r>
    </w:p>
    <w:p w14:paraId="1622D638" w14:textId="77777777" w:rsidR="00823391" w:rsidRPr="002D532C" w:rsidRDefault="00823391" w:rsidP="002D532C">
      <w:pPr>
        <w:shd w:val="clear" w:color="auto" w:fill="FFFFFF"/>
        <w:spacing w:after="0" w:line="240" w:lineRule="auto"/>
        <w:jc w:val="both"/>
        <w:textAlignment w:val="baseline"/>
        <w:divId w:val="1314795112"/>
        <w:rPr>
          <w:rFonts w:ascii="Arial" w:eastAsia="Times New Roman" w:hAnsi="Arial" w:cs="Arial"/>
          <w:lang w:eastAsia="es-CO"/>
        </w:rPr>
      </w:pPr>
    </w:p>
    <w:p w14:paraId="069B2B40" w14:textId="48B25728" w:rsidR="005B7EAE" w:rsidRPr="002D532C" w:rsidRDefault="005B7EAE" w:rsidP="002D532C">
      <w:pPr>
        <w:numPr>
          <w:ilvl w:val="0"/>
          <w:numId w:val="7"/>
        </w:numPr>
        <w:shd w:val="clear" w:color="auto" w:fill="FFFFFF"/>
        <w:spacing w:after="0" w:line="257" w:lineRule="atLeast"/>
        <w:ind w:left="426"/>
        <w:jc w:val="both"/>
        <w:rPr>
          <w:rFonts w:ascii="Arial" w:eastAsia="Times New Roman" w:hAnsi="Arial" w:cs="Arial"/>
          <w:color w:val="000000"/>
          <w:lang w:eastAsia="es-CO"/>
        </w:rPr>
      </w:pPr>
      <w:r w:rsidRPr="002D532C">
        <w:rPr>
          <w:rFonts w:ascii="Arial" w:eastAsia="Times New Roman" w:hAnsi="Arial" w:cs="Arial"/>
          <w:color w:val="000000"/>
          <w:lang w:eastAsia="es-CO"/>
        </w:rPr>
        <w:t>¿Qué campañas de educación sexual se han adelantado en la ciudad y a qué grupos poblacionales se imparte? </w:t>
      </w:r>
    </w:p>
    <w:p w14:paraId="7CC67444" w14:textId="77777777" w:rsidR="00CB75A6" w:rsidRPr="002D532C" w:rsidRDefault="00CB75A6" w:rsidP="002D532C">
      <w:pPr>
        <w:shd w:val="clear" w:color="auto" w:fill="FFFFFF"/>
        <w:spacing w:after="0" w:line="257" w:lineRule="atLeast"/>
        <w:ind w:left="426"/>
        <w:jc w:val="both"/>
        <w:rPr>
          <w:rFonts w:ascii="Arial" w:eastAsia="Times New Roman" w:hAnsi="Arial" w:cs="Arial"/>
          <w:color w:val="000000"/>
          <w:lang w:eastAsia="es-CO"/>
        </w:rPr>
      </w:pPr>
    </w:p>
    <w:p w14:paraId="24C91C40" w14:textId="646753A1" w:rsidR="00D717C3" w:rsidRPr="002D532C" w:rsidRDefault="00D717C3" w:rsidP="002D532C">
      <w:pPr>
        <w:shd w:val="clear" w:color="auto" w:fill="FFFFFF"/>
        <w:spacing w:after="0" w:line="240" w:lineRule="auto"/>
        <w:jc w:val="both"/>
        <w:textAlignment w:val="baseline"/>
        <w:rPr>
          <w:rFonts w:ascii="Arial" w:eastAsia="Times New Roman" w:hAnsi="Arial" w:cs="Arial"/>
          <w:b/>
          <w:bCs/>
          <w:lang w:eastAsia="es-CO"/>
        </w:rPr>
      </w:pPr>
      <w:r w:rsidRPr="002D532C">
        <w:rPr>
          <w:rFonts w:ascii="Arial" w:eastAsia="Times New Roman" w:hAnsi="Arial" w:cs="Arial"/>
          <w:b/>
          <w:bCs/>
          <w:lang w:eastAsia="es-CO"/>
        </w:rPr>
        <w:t>Respuesta:</w:t>
      </w:r>
    </w:p>
    <w:p w14:paraId="6B003C4D" w14:textId="77777777" w:rsidR="00CB75A6" w:rsidRPr="002D532C" w:rsidRDefault="00CB75A6" w:rsidP="002D532C">
      <w:pPr>
        <w:shd w:val="clear" w:color="auto" w:fill="FFFFFF"/>
        <w:spacing w:after="0" w:line="240" w:lineRule="auto"/>
        <w:jc w:val="both"/>
        <w:textAlignment w:val="baseline"/>
        <w:rPr>
          <w:rFonts w:ascii="Arial" w:eastAsia="Times New Roman" w:hAnsi="Arial" w:cs="Arial"/>
          <w:b/>
          <w:bCs/>
          <w:lang w:eastAsia="es-CO"/>
        </w:rPr>
      </w:pPr>
    </w:p>
    <w:p w14:paraId="7D91060C" w14:textId="2CE5F05A" w:rsidR="00461757" w:rsidRPr="002D532C" w:rsidRDefault="00511432" w:rsidP="002D532C">
      <w:pPr>
        <w:shd w:val="clear" w:color="auto" w:fill="FFFFFF"/>
        <w:spacing w:after="0" w:line="257" w:lineRule="atLeast"/>
        <w:jc w:val="both"/>
        <w:rPr>
          <w:rFonts w:ascii="Arial" w:eastAsia="Calibri" w:hAnsi="Arial" w:cs="Arial"/>
        </w:rPr>
      </w:pPr>
      <w:r w:rsidRPr="002D532C">
        <w:rPr>
          <w:rFonts w:ascii="Arial" w:eastAsia="Calibri" w:hAnsi="Arial" w:cs="Arial"/>
        </w:rPr>
        <w:t>La subred Norte, a través del Plan de Intervenciones Colectivas, no ha implementado campañas específicas</w:t>
      </w:r>
      <w:r w:rsidR="000E0A17" w:rsidRPr="002D532C">
        <w:rPr>
          <w:rFonts w:ascii="Arial" w:eastAsia="Calibri" w:hAnsi="Arial" w:cs="Arial"/>
        </w:rPr>
        <w:t xml:space="preserve"> de educación sexual</w:t>
      </w:r>
      <w:r w:rsidRPr="002D532C">
        <w:rPr>
          <w:rFonts w:ascii="Arial" w:eastAsia="Calibri" w:hAnsi="Arial" w:cs="Arial"/>
        </w:rPr>
        <w:t xml:space="preserve">, </w:t>
      </w:r>
      <w:r w:rsidR="000E0A17" w:rsidRPr="002D532C">
        <w:rPr>
          <w:rFonts w:ascii="Arial" w:eastAsia="Calibri" w:hAnsi="Arial" w:cs="Arial"/>
        </w:rPr>
        <w:t>sin embargo,</w:t>
      </w:r>
      <w:r w:rsidRPr="002D532C">
        <w:rPr>
          <w:rFonts w:ascii="Arial" w:eastAsia="Calibri" w:hAnsi="Arial" w:cs="Arial"/>
        </w:rPr>
        <w:t xml:space="preserve"> ha desarrollado acciones en alineación con los lineamientos de la Secretaría Distrital de Salud</w:t>
      </w:r>
      <w:r w:rsidR="00461757" w:rsidRPr="002D532C">
        <w:rPr>
          <w:rFonts w:ascii="Arial" w:eastAsia="Calibri" w:hAnsi="Arial" w:cs="Arial"/>
        </w:rPr>
        <w:t xml:space="preserve"> a través de las acciones de los entornos cuidadores, las cuales se describen a continuación.</w:t>
      </w:r>
    </w:p>
    <w:p w14:paraId="6BB21E0C" w14:textId="77777777" w:rsidR="00461757" w:rsidRPr="002D532C" w:rsidRDefault="00461757" w:rsidP="002D532C">
      <w:pPr>
        <w:shd w:val="clear" w:color="auto" w:fill="FFFFFF"/>
        <w:spacing w:after="0" w:line="257" w:lineRule="atLeast"/>
        <w:jc w:val="both"/>
        <w:rPr>
          <w:rFonts w:ascii="Arial" w:eastAsia="Calibri" w:hAnsi="Arial" w:cs="Arial"/>
        </w:rPr>
      </w:pPr>
    </w:p>
    <w:p w14:paraId="10D30A9A" w14:textId="24020BF2" w:rsidR="00511432" w:rsidRPr="002D532C" w:rsidRDefault="00511432" w:rsidP="002D532C">
      <w:pPr>
        <w:shd w:val="clear" w:color="auto" w:fill="FFFFFF"/>
        <w:spacing w:after="0" w:line="257" w:lineRule="atLeast"/>
        <w:jc w:val="both"/>
        <w:rPr>
          <w:rFonts w:ascii="Arial" w:eastAsia="Calibri" w:hAnsi="Arial" w:cs="Arial"/>
        </w:rPr>
      </w:pPr>
      <w:r w:rsidRPr="002D532C">
        <w:rPr>
          <w:rFonts w:ascii="Arial" w:eastAsia="Calibri" w:hAnsi="Arial" w:cs="Arial"/>
          <w:u w:val="single"/>
        </w:rPr>
        <w:t>En el entorno Cuidador Educativo,</w:t>
      </w:r>
      <w:r w:rsidRPr="002D532C">
        <w:rPr>
          <w:rFonts w:ascii="Arial" w:eastAsia="Calibri" w:hAnsi="Arial" w:cs="Arial"/>
        </w:rPr>
        <w:t xml:space="preserve"> se ha impulsado una estrategia integral de educación para la sexualidad dirigida a niñas, niños, adolescentes y jóvenes, adaptada a las diversas etapas de desarrollo. Esta estrategia busca promover el ejercicio informado, autónomo y responsable de los derechos sexuales y reproductivos.</w:t>
      </w:r>
    </w:p>
    <w:p w14:paraId="0B4A6395" w14:textId="77777777" w:rsidR="00511432" w:rsidRPr="002D532C" w:rsidRDefault="00511432" w:rsidP="002D532C">
      <w:pPr>
        <w:shd w:val="clear" w:color="auto" w:fill="FFFFFF"/>
        <w:spacing w:after="0" w:line="257" w:lineRule="atLeast"/>
        <w:jc w:val="both"/>
        <w:rPr>
          <w:rFonts w:ascii="Arial" w:eastAsia="Calibri" w:hAnsi="Arial" w:cs="Arial"/>
        </w:rPr>
      </w:pPr>
    </w:p>
    <w:p w14:paraId="3FDAEFFE" w14:textId="77777777" w:rsidR="00511432" w:rsidRPr="002D532C" w:rsidRDefault="00511432" w:rsidP="002D532C">
      <w:pPr>
        <w:shd w:val="clear" w:color="auto" w:fill="FFFFFF"/>
        <w:spacing w:after="0" w:line="257" w:lineRule="atLeast"/>
        <w:jc w:val="both"/>
        <w:rPr>
          <w:rFonts w:ascii="Arial" w:eastAsia="Calibri" w:hAnsi="Arial" w:cs="Arial"/>
        </w:rPr>
      </w:pPr>
      <w:r w:rsidRPr="002D532C">
        <w:rPr>
          <w:rFonts w:ascii="Arial" w:eastAsia="Calibri" w:hAnsi="Arial" w:cs="Arial"/>
        </w:rPr>
        <w:t>Las principales acciones incluyen:</w:t>
      </w:r>
    </w:p>
    <w:p w14:paraId="4D35CB33" w14:textId="77777777" w:rsidR="00511432" w:rsidRPr="002D532C" w:rsidRDefault="00511432" w:rsidP="002D532C">
      <w:pPr>
        <w:shd w:val="clear" w:color="auto" w:fill="FFFFFF"/>
        <w:spacing w:after="0" w:line="257" w:lineRule="atLeast"/>
        <w:jc w:val="both"/>
        <w:rPr>
          <w:rFonts w:ascii="Arial" w:eastAsia="Calibri" w:hAnsi="Arial" w:cs="Arial"/>
        </w:rPr>
      </w:pPr>
    </w:p>
    <w:p w14:paraId="23C13AE5" w14:textId="77777777" w:rsidR="00511432" w:rsidRPr="002D532C" w:rsidRDefault="00511432" w:rsidP="002D532C">
      <w:pPr>
        <w:pStyle w:val="Prrafodelista"/>
        <w:numPr>
          <w:ilvl w:val="0"/>
          <w:numId w:val="9"/>
        </w:numPr>
        <w:shd w:val="clear" w:color="auto" w:fill="FFFFFF"/>
        <w:spacing w:after="0" w:line="257" w:lineRule="atLeast"/>
        <w:ind w:left="284"/>
        <w:jc w:val="both"/>
        <w:rPr>
          <w:rFonts w:ascii="Arial" w:eastAsia="Calibri" w:hAnsi="Arial" w:cs="Arial"/>
        </w:rPr>
      </w:pPr>
      <w:r w:rsidRPr="002D532C">
        <w:rPr>
          <w:rFonts w:ascii="Arial" w:eastAsia="Calibri" w:hAnsi="Arial" w:cs="Arial"/>
          <w:u w:val="single"/>
        </w:rPr>
        <w:t>Niñas y niños (de 3 a 10 años):</w:t>
      </w:r>
      <w:r w:rsidRPr="002D532C">
        <w:rPr>
          <w:rFonts w:ascii="Arial" w:eastAsia="Calibri" w:hAnsi="Arial" w:cs="Arial"/>
        </w:rPr>
        <w:t xml:space="preserve"> Se trabajan habilidades socioemocionales, el respeto por el propio cuerpo y el de los demás, la construcción de rutinas de autocuidado y la prevención de la violencia.</w:t>
      </w:r>
    </w:p>
    <w:p w14:paraId="7AEA7B49" w14:textId="77777777" w:rsidR="00511432" w:rsidRPr="002D532C" w:rsidRDefault="00511432" w:rsidP="002D532C">
      <w:pPr>
        <w:pStyle w:val="Prrafodelista"/>
        <w:numPr>
          <w:ilvl w:val="0"/>
          <w:numId w:val="9"/>
        </w:numPr>
        <w:shd w:val="clear" w:color="auto" w:fill="FFFFFF"/>
        <w:spacing w:after="0" w:line="257" w:lineRule="atLeast"/>
        <w:ind w:left="284"/>
        <w:jc w:val="both"/>
        <w:rPr>
          <w:rFonts w:ascii="Arial" w:eastAsia="Calibri" w:hAnsi="Arial" w:cs="Arial"/>
        </w:rPr>
      </w:pPr>
      <w:r w:rsidRPr="002D532C">
        <w:rPr>
          <w:rFonts w:ascii="Arial" w:eastAsia="Calibri" w:hAnsi="Arial" w:cs="Arial"/>
          <w:u w:val="single"/>
        </w:rPr>
        <w:t>Adolescentes (de 11 a 18 años):</w:t>
      </w:r>
      <w:r w:rsidRPr="002D532C">
        <w:rPr>
          <w:rFonts w:ascii="Arial" w:eastAsia="Calibri" w:hAnsi="Arial" w:cs="Arial"/>
        </w:rPr>
        <w:t xml:space="preserve"> Se abordan los cambios físicos, emocionales y sociales propios de la pubertad, la prevención de infecciones de transmisión sexual (ITS), la toma </w:t>
      </w:r>
      <w:r w:rsidRPr="002D532C">
        <w:rPr>
          <w:rFonts w:ascii="Arial" w:eastAsia="Calibri" w:hAnsi="Arial" w:cs="Arial"/>
        </w:rPr>
        <w:lastRenderedPageBreak/>
        <w:t>de decisiones responsables sobre la vida sexual y reproductiva, la construcción de relaciones afectivas saludables y la prevención del embarazo temprano.</w:t>
      </w:r>
    </w:p>
    <w:p w14:paraId="108887BF" w14:textId="77777777" w:rsidR="00511432" w:rsidRPr="002D532C" w:rsidRDefault="00511432" w:rsidP="002D532C">
      <w:pPr>
        <w:shd w:val="clear" w:color="auto" w:fill="FFFFFF"/>
        <w:spacing w:after="0" w:line="257" w:lineRule="atLeast"/>
        <w:jc w:val="both"/>
        <w:rPr>
          <w:rFonts w:ascii="Arial" w:eastAsia="Calibri" w:hAnsi="Arial" w:cs="Arial"/>
        </w:rPr>
      </w:pPr>
    </w:p>
    <w:p w14:paraId="036ED738" w14:textId="3A8A3442" w:rsidR="00511432" w:rsidRPr="002D532C" w:rsidRDefault="00511432" w:rsidP="002D532C">
      <w:pPr>
        <w:shd w:val="clear" w:color="auto" w:fill="FFFFFF"/>
        <w:spacing w:after="0" w:line="257" w:lineRule="atLeast"/>
        <w:jc w:val="both"/>
        <w:rPr>
          <w:rFonts w:ascii="Arial" w:eastAsia="Calibri" w:hAnsi="Arial" w:cs="Arial"/>
        </w:rPr>
      </w:pPr>
      <w:r w:rsidRPr="002D532C">
        <w:rPr>
          <w:rFonts w:ascii="Arial" w:eastAsia="Calibri" w:hAnsi="Arial" w:cs="Arial"/>
        </w:rPr>
        <w:t xml:space="preserve">Además, se ha implementado </w:t>
      </w:r>
      <w:r w:rsidR="00AA76B0" w:rsidRPr="002D532C">
        <w:rPr>
          <w:rFonts w:ascii="Arial" w:eastAsia="Calibri" w:hAnsi="Arial" w:cs="Arial"/>
        </w:rPr>
        <w:t xml:space="preserve">la estrategia </w:t>
      </w:r>
      <w:r w:rsidRPr="002D532C">
        <w:rPr>
          <w:rFonts w:ascii="Arial" w:eastAsia="Calibri" w:hAnsi="Arial" w:cs="Arial"/>
        </w:rPr>
        <w:t>"Sexualidad, hablar sin incomodidad", que se aplica en todos los niveles educativos. Este programa fomenta el diálogo abierto sobre sexualidad, derechos sexuales y reproductivos, equidad de género y ciudadanía, desmitificando estereotipos sociales y culturales.</w:t>
      </w:r>
      <w:r w:rsidR="00AA76B0" w:rsidRPr="002D532C">
        <w:rPr>
          <w:rFonts w:ascii="Arial" w:eastAsia="Calibri" w:hAnsi="Arial" w:cs="Arial"/>
        </w:rPr>
        <w:t xml:space="preserve"> </w:t>
      </w:r>
      <w:r w:rsidRPr="002D532C">
        <w:rPr>
          <w:rFonts w:ascii="Arial" w:eastAsia="Calibri" w:hAnsi="Arial" w:cs="Arial"/>
        </w:rPr>
        <w:t>El trabajo con familias tiene como objetivo fortalecer las capacidades de madres, padres y cuidadores para acompañar adecuadamente el proceso de desarrollo sexual y afectivo de sus hijos e hijas.</w:t>
      </w:r>
      <w:r w:rsidR="00AA76B0" w:rsidRPr="002D532C">
        <w:rPr>
          <w:rFonts w:ascii="Arial" w:eastAsia="Calibri" w:hAnsi="Arial" w:cs="Arial"/>
        </w:rPr>
        <w:t xml:space="preserve"> </w:t>
      </w:r>
      <w:r w:rsidRPr="002D532C">
        <w:rPr>
          <w:rFonts w:ascii="Arial" w:eastAsia="Calibri" w:hAnsi="Arial" w:cs="Arial"/>
        </w:rPr>
        <w:t>También se lleva a cabo una formación para docentes, proporcionándoles herramientas conceptuales y pedagógicas para incorporar la educación sexual integral de manera transversal en sus prácticas educativas.</w:t>
      </w:r>
      <w:r w:rsidR="00AA76B0" w:rsidRPr="002D532C">
        <w:rPr>
          <w:rFonts w:ascii="Arial" w:eastAsia="Calibri" w:hAnsi="Arial" w:cs="Arial"/>
        </w:rPr>
        <w:t xml:space="preserve"> </w:t>
      </w:r>
      <w:r w:rsidRPr="002D532C">
        <w:rPr>
          <w:rFonts w:ascii="Arial" w:eastAsia="Calibri" w:hAnsi="Arial" w:cs="Arial"/>
        </w:rPr>
        <w:t>Se ofrece orientación y acceso a métodos de regulación de la fecundidad, mediante espacios pedagógicos y acompañamiento personalizado, especialmente para adolescentes y jóvenes en riesgo de vulneración de derechos.</w:t>
      </w:r>
    </w:p>
    <w:p w14:paraId="4E432748" w14:textId="77777777" w:rsidR="00511432" w:rsidRPr="002D532C" w:rsidRDefault="00511432" w:rsidP="002D532C">
      <w:pPr>
        <w:shd w:val="clear" w:color="auto" w:fill="FFFFFF"/>
        <w:spacing w:after="0" w:line="257" w:lineRule="atLeast"/>
        <w:jc w:val="both"/>
        <w:rPr>
          <w:rFonts w:ascii="Arial" w:eastAsia="Calibri" w:hAnsi="Arial" w:cs="Arial"/>
        </w:rPr>
      </w:pPr>
    </w:p>
    <w:p w14:paraId="4A1AABA1" w14:textId="77777777" w:rsidR="003F157C" w:rsidRPr="002D532C" w:rsidRDefault="00511432" w:rsidP="002D532C">
      <w:pPr>
        <w:shd w:val="clear" w:color="auto" w:fill="FFFFFF"/>
        <w:spacing w:after="0" w:line="257" w:lineRule="atLeast"/>
        <w:jc w:val="both"/>
        <w:rPr>
          <w:rFonts w:ascii="Arial" w:eastAsia="Calibri" w:hAnsi="Arial" w:cs="Arial"/>
        </w:rPr>
      </w:pPr>
      <w:r w:rsidRPr="002D532C">
        <w:rPr>
          <w:rFonts w:ascii="Arial" w:eastAsia="Calibri" w:hAnsi="Arial" w:cs="Arial"/>
          <w:u w:val="single"/>
        </w:rPr>
        <w:t>En el entorno Institucional</w:t>
      </w:r>
      <w:r w:rsidRPr="002D532C">
        <w:rPr>
          <w:rFonts w:ascii="Arial" w:eastAsia="Calibri" w:hAnsi="Arial" w:cs="Arial"/>
        </w:rPr>
        <w:t xml:space="preserve">, se realiza la estrategia integrada “Cuidado para la salud de las personas institucionalizadas y sus cuidadores”, que abarca intervenciones de cuidado individual y colectivo. Estas incluyen la promoción de la salud, el fortalecimiento de estilos de vida y hábitos saludables, y contribuyen al bienestar de las personas institucionalizadas. </w:t>
      </w:r>
      <w:r w:rsidR="003F157C" w:rsidRPr="002D532C">
        <w:rPr>
          <w:rFonts w:ascii="Arial" w:eastAsia="Calibri" w:hAnsi="Arial" w:cs="Arial"/>
        </w:rPr>
        <w:t>A través de planes de cuidado concertados en estas instituciones, se abordan temas de educación sexual dentro del marco de los derechos sexuales y reproductivos, con un enfoque en la prevención de ITS, el uso y manejo adecuado del condón masculino y femenino, y la realización de tamizajes de VIH, sífilis y Hepatitis B.</w:t>
      </w:r>
    </w:p>
    <w:p w14:paraId="0B0AC6A3" w14:textId="7C371F9E" w:rsidR="00A97812" w:rsidRPr="002D532C" w:rsidRDefault="00A97812" w:rsidP="002D532C">
      <w:pPr>
        <w:shd w:val="clear" w:color="auto" w:fill="FFFFFF"/>
        <w:spacing w:after="0" w:line="257" w:lineRule="atLeast"/>
        <w:jc w:val="both"/>
        <w:rPr>
          <w:rFonts w:ascii="Arial" w:eastAsia="Calibri" w:hAnsi="Arial" w:cs="Arial"/>
        </w:rPr>
      </w:pPr>
    </w:p>
    <w:p w14:paraId="1C5F0A7B" w14:textId="37731AE8" w:rsidR="00511432" w:rsidRPr="002D532C" w:rsidRDefault="00511432" w:rsidP="002D532C">
      <w:pPr>
        <w:shd w:val="clear" w:color="auto" w:fill="FFFFFF"/>
        <w:spacing w:after="0" w:line="257" w:lineRule="atLeast"/>
        <w:jc w:val="both"/>
        <w:rPr>
          <w:rFonts w:ascii="Arial" w:eastAsia="Calibri" w:hAnsi="Arial" w:cs="Arial"/>
        </w:rPr>
      </w:pPr>
      <w:r w:rsidRPr="002D532C">
        <w:rPr>
          <w:rFonts w:ascii="Arial" w:eastAsia="Calibri" w:hAnsi="Arial" w:cs="Arial"/>
        </w:rPr>
        <w:t>Este enfoque se aplica en:</w:t>
      </w:r>
    </w:p>
    <w:p w14:paraId="0521C6D3" w14:textId="77777777" w:rsidR="00511432" w:rsidRPr="002D532C" w:rsidRDefault="00511432" w:rsidP="002D532C">
      <w:pPr>
        <w:shd w:val="clear" w:color="auto" w:fill="FFFFFF"/>
        <w:spacing w:after="0" w:line="257" w:lineRule="atLeast"/>
        <w:jc w:val="both"/>
        <w:rPr>
          <w:rFonts w:ascii="Arial" w:eastAsia="Calibri" w:hAnsi="Arial" w:cs="Arial"/>
        </w:rPr>
      </w:pPr>
    </w:p>
    <w:p w14:paraId="37CB728B" w14:textId="77777777" w:rsidR="00A97812" w:rsidRPr="002D532C" w:rsidRDefault="00511432" w:rsidP="002D532C">
      <w:pPr>
        <w:pStyle w:val="Prrafodelista"/>
        <w:numPr>
          <w:ilvl w:val="0"/>
          <w:numId w:val="10"/>
        </w:numPr>
        <w:shd w:val="clear" w:color="auto" w:fill="FFFFFF"/>
        <w:spacing w:after="0" w:line="257" w:lineRule="atLeast"/>
        <w:ind w:left="426"/>
        <w:jc w:val="both"/>
        <w:rPr>
          <w:rFonts w:ascii="Arial" w:eastAsia="Calibri" w:hAnsi="Arial" w:cs="Arial"/>
        </w:rPr>
      </w:pPr>
      <w:r w:rsidRPr="002D532C">
        <w:rPr>
          <w:rFonts w:ascii="Arial" w:eastAsia="Calibri" w:hAnsi="Arial" w:cs="Arial"/>
        </w:rPr>
        <w:t>Instituciones de atención a poblaciones diferenciales, como personas privadas de la libertad, habitantes de calle, mujeres en situación de vulnerabilidad, adolescentes infractores, entre otros.</w:t>
      </w:r>
    </w:p>
    <w:p w14:paraId="1FF637B7" w14:textId="661E69BD" w:rsidR="00511432" w:rsidRPr="002D532C" w:rsidRDefault="00511432" w:rsidP="002D532C">
      <w:pPr>
        <w:pStyle w:val="Prrafodelista"/>
        <w:numPr>
          <w:ilvl w:val="0"/>
          <w:numId w:val="10"/>
        </w:numPr>
        <w:shd w:val="clear" w:color="auto" w:fill="FFFFFF"/>
        <w:spacing w:after="0" w:line="257" w:lineRule="atLeast"/>
        <w:ind w:left="426"/>
        <w:jc w:val="both"/>
        <w:rPr>
          <w:rFonts w:ascii="Arial" w:eastAsia="Calibri" w:hAnsi="Arial" w:cs="Arial"/>
        </w:rPr>
      </w:pPr>
      <w:r w:rsidRPr="002D532C">
        <w:rPr>
          <w:rFonts w:ascii="Arial" w:eastAsia="Calibri" w:hAnsi="Arial" w:cs="Arial"/>
        </w:rPr>
        <w:t>Instituciones de protección y atención a personas mayores e infancia.</w:t>
      </w:r>
    </w:p>
    <w:p w14:paraId="43C42093" w14:textId="77777777" w:rsidR="00511432" w:rsidRPr="002D532C" w:rsidRDefault="00511432" w:rsidP="002D532C">
      <w:pPr>
        <w:shd w:val="clear" w:color="auto" w:fill="FFFFFF"/>
        <w:spacing w:after="0" w:line="257" w:lineRule="atLeast"/>
        <w:jc w:val="both"/>
        <w:rPr>
          <w:rFonts w:ascii="Arial" w:eastAsia="Calibri" w:hAnsi="Arial" w:cs="Arial"/>
        </w:rPr>
      </w:pPr>
    </w:p>
    <w:p w14:paraId="095BA999" w14:textId="6A4FF83F" w:rsidR="00511432" w:rsidRPr="002D532C" w:rsidRDefault="00511432" w:rsidP="002D532C">
      <w:pPr>
        <w:shd w:val="clear" w:color="auto" w:fill="FFFFFF"/>
        <w:spacing w:after="0" w:line="257" w:lineRule="atLeast"/>
        <w:jc w:val="both"/>
        <w:rPr>
          <w:rFonts w:ascii="Arial" w:eastAsia="Calibri" w:hAnsi="Arial" w:cs="Arial"/>
        </w:rPr>
      </w:pPr>
      <w:r w:rsidRPr="002D532C">
        <w:rPr>
          <w:rFonts w:ascii="Arial" w:eastAsia="Calibri" w:hAnsi="Arial" w:cs="Arial"/>
        </w:rPr>
        <w:t xml:space="preserve">En el </w:t>
      </w:r>
      <w:r w:rsidR="003F157C" w:rsidRPr="002D532C">
        <w:rPr>
          <w:rFonts w:ascii="Arial" w:eastAsia="Calibri" w:hAnsi="Arial" w:cs="Arial"/>
          <w:u w:val="single"/>
        </w:rPr>
        <w:t>entorno</w:t>
      </w:r>
      <w:r w:rsidRPr="002D532C">
        <w:rPr>
          <w:rFonts w:ascii="Arial" w:eastAsia="Calibri" w:hAnsi="Arial" w:cs="Arial"/>
          <w:u w:val="single"/>
        </w:rPr>
        <w:t xml:space="preserve"> Laboral</w:t>
      </w:r>
      <w:r w:rsidRPr="002D532C">
        <w:rPr>
          <w:rFonts w:ascii="Arial" w:eastAsia="Calibri" w:hAnsi="Arial" w:cs="Arial"/>
        </w:rPr>
        <w:t>, se realizan acciones de educación en salud sexual y reproductiva para trabajadores de la economía informal y personas vinculadas a actividades sexuales remuneradas. Estas actividades incluyen la promoción de derechos sexuales y reproductivos, así como la prevención de ITS, incluyendo VIH.</w:t>
      </w:r>
    </w:p>
    <w:p w14:paraId="1C85FC65" w14:textId="77777777" w:rsidR="00511432" w:rsidRPr="002D532C" w:rsidRDefault="00511432" w:rsidP="002D532C">
      <w:pPr>
        <w:shd w:val="clear" w:color="auto" w:fill="FFFFFF"/>
        <w:spacing w:after="0" w:line="257" w:lineRule="atLeast"/>
        <w:jc w:val="both"/>
        <w:rPr>
          <w:rFonts w:ascii="Arial" w:eastAsia="Calibri" w:hAnsi="Arial" w:cs="Arial"/>
        </w:rPr>
      </w:pPr>
    </w:p>
    <w:p w14:paraId="2BB37AC3" w14:textId="788DE22A" w:rsidR="00511432" w:rsidRPr="002D532C" w:rsidRDefault="00511432" w:rsidP="002D532C">
      <w:pPr>
        <w:shd w:val="clear" w:color="auto" w:fill="FFFFFF"/>
        <w:spacing w:after="0" w:line="257" w:lineRule="atLeast"/>
        <w:jc w:val="both"/>
        <w:rPr>
          <w:rFonts w:ascii="Arial" w:eastAsia="Calibri" w:hAnsi="Arial" w:cs="Arial"/>
        </w:rPr>
      </w:pPr>
      <w:r w:rsidRPr="002D532C">
        <w:rPr>
          <w:rFonts w:ascii="Arial" w:eastAsia="Calibri" w:hAnsi="Arial" w:cs="Arial"/>
        </w:rPr>
        <w:t xml:space="preserve">La estrategia Bienestar Integral, enfocada en la salud mental en </w:t>
      </w:r>
      <w:r w:rsidRPr="002D532C">
        <w:rPr>
          <w:rFonts w:ascii="Arial" w:eastAsia="Calibri" w:hAnsi="Arial" w:cs="Arial"/>
          <w:u w:val="single"/>
        </w:rPr>
        <w:t>el entorno Cuidador Comunitario</w:t>
      </w:r>
      <w:r w:rsidRPr="002D532C">
        <w:rPr>
          <w:rFonts w:ascii="Arial" w:eastAsia="Calibri" w:hAnsi="Arial" w:cs="Arial"/>
        </w:rPr>
        <w:t>, desarrolla asesorías en salud sexual y reproductiva para personas mayores de 14 años, brindando información, orientación y apoyo para tomar decisiones informadas sobre su salud sexual y reproductiva</w:t>
      </w:r>
      <w:r w:rsidR="007764CB" w:rsidRPr="002D532C">
        <w:rPr>
          <w:rFonts w:ascii="Arial" w:eastAsia="Calibri" w:hAnsi="Arial" w:cs="Arial"/>
        </w:rPr>
        <w:t xml:space="preserve">. </w:t>
      </w:r>
      <w:r w:rsidR="00E13FDC" w:rsidRPr="002D532C">
        <w:rPr>
          <w:rFonts w:ascii="Arial" w:eastAsia="Calibri" w:hAnsi="Arial" w:cs="Arial"/>
        </w:rPr>
        <w:t>Estas acciones</w:t>
      </w:r>
      <w:r w:rsidRPr="002D532C">
        <w:rPr>
          <w:rFonts w:ascii="Arial" w:eastAsia="Calibri" w:hAnsi="Arial" w:cs="Arial"/>
        </w:rPr>
        <w:t xml:space="preserve"> están dirigid</w:t>
      </w:r>
      <w:r w:rsidR="00597EED" w:rsidRPr="002D532C">
        <w:rPr>
          <w:rFonts w:ascii="Arial" w:eastAsia="Calibri" w:hAnsi="Arial" w:cs="Arial"/>
        </w:rPr>
        <w:t>a</w:t>
      </w:r>
      <w:r w:rsidRPr="002D532C">
        <w:rPr>
          <w:rFonts w:ascii="Arial" w:eastAsia="Calibri" w:hAnsi="Arial" w:cs="Arial"/>
        </w:rPr>
        <w:t xml:space="preserve">s a todos los grupos de edad: infancia, adolescencia, juventud, adultez y personas mayores. Las temáticas abordadas incluyen la autonomía reproductiva, el cuidado menstrual, los derechos sexuales y reproductivos, la diversidad sexual, la sexualidad libre, placentera y responsable, la prevención del embarazo adolescente, el estigma y la discriminación relacionados con las ITS, el enfoque de género, la identidad sexual y la orientación sexual, la interrupción </w:t>
      </w:r>
      <w:r w:rsidRPr="002D532C">
        <w:rPr>
          <w:rFonts w:ascii="Arial" w:eastAsia="Calibri" w:hAnsi="Arial" w:cs="Arial"/>
        </w:rPr>
        <w:lastRenderedPageBreak/>
        <w:t>voluntaria del embarazo (IVE), la maternidad y la paternidad, los métodos de planificación y de barrera, la prevención de ITS, y la protección de niñas, niños y adolescentes frente a la violencia sexual. Además, se socializan las rutas de atención integral en salud sexual y reproductiva.</w:t>
      </w:r>
    </w:p>
    <w:p w14:paraId="30221A59" w14:textId="77777777" w:rsidR="00D717C3" w:rsidRPr="002D532C" w:rsidRDefault="00D717C3" w:rsidP="002D532C">
      <w:pPr>
        <w:shd w:val="clear" w:color="auto" w:fill="FFFFFF"/>
        <w:spacing w:after="0" w:line="257" w:lineRule="atLeast"/>
        <w:jc w:val="both"/>
        <w:rPr>
          <w:rFonts w:ascii="Arial" w:eastAsia="Times New Roman" w:hAnsi="Arial" w:cs="Arial"/>
          <w:lang w:eastAsia="es-CO"/>
        </w:rPr>
      </w:pPr>
    </w:p>
    <w:p w14:paraId="09D6EBD4" w14:textId="15D39C25" w:rsidR="005B7EAE" w:rsidRPr="002D532C" w:rsidRDefault="005B7EAE" w:rsidP="002D532C">
      <w:pPr>
        <w:numPr>
          <w:ilvl w:val="0"/>
          <w:numId w:val="7"/>
        </w:numPr>
        <w:shd w:val="clear" w:color="auto" w:fill="FFFFFF"/>
        <w:spacing w:line="257" w:lineRule="atLeast"/>
        <w:ind w:left="426"/>
        <w:jc w:val="both"/>
        <w:rPr>
          <w:rFonts w:ascii="Arial" w:eastAsia="Times New Roman" w:hAnsi="Arial" w:cs="Arial"/>
          <w:color w:val="000000"/>
          <w:lang w:eastAsia="es-CO"/>
        </w:rPr>
      </w:pPr>
      <w:r w:rsidRPr="002D532C">
        <w:rPr>
          <w:rFonts w:ascii="Arial" w:eastAsia="Times New Roman" w:hAnsi="Arial" w:cs="Arial"/>
          <w:color w:val="000000"/>
          <w:lang w:eastAsia="es-CO"/>
        </w:rPr>
        <w:t>¿Cuál es la correlación numérica de casos de individuos VIH positivos coinfectados con otras ITS? </w:t>
      </w:r>
    </w:p>
    <w:p w14:paraId="1B87BDD1" w14:textId="326E2EF9" w:rsidR="00512AAF" w:rsidRPr="002D532C" w:rsidRDefault="00512AAF" w:rsidP="002D532C">
      <w:pPr>
        <w:shd w:val="clear" w:color="auto" w:fill="FFFFFF"/>
        <w:spacing w:after="0" w:line="240" w:lineRule="auto"/>
        <w:jc w:val="both"/>
        <w:textAlignment w:val="baseline"/>
        <w:rPr>
          <w:rFonts w:ascii="Arial" w:eastAsia="Times New Roman" w:hAnsi="Arial" w:cs="Arial"/>
          <w:b/>
          <w:bCs/>
          <w:lang w:eastAsia="es-CO"/>
        </w:rPr>
      </w:pPr>
      <w:r w:rsidRPr="002D532C">
        <w:rPr>
          <w:rFonts w:ascii="Arial" w:eastAsia="Times New Roman" w:hAnsi="Arial" w:cs="Arial"/>
          <w:b/>
          <w:bCs/>
          <w:lang w:eastAsia="es-CO"/>
        </w:rPr>
        <w:t>Respuesta:</w:t>
      </w:r>
    </w:p>
    <w:p w14:paraId="480CD548" w14:textId="77777777" w:rsidR="0088074D" w:rsidRPr="002D532C" w:rsidRDefault="0088074D" w:rsidP="002D532C">
      <w:pPr>
        <w:shd w:val="clear" w:color="auto" w:fill="FFFFFF"/>
        <w:spacing w:after="0" w:line="240" w:lineRule="auto"/>
        <w:jc w:val="both"/>
        <w:textAlignment w:val="baseline"/>
        <w:rPr>
          <w:rFonts w:ascii="Arial" w:eastAsia="Times New Roman" w:hAnsi="Arial" w:cs="Arial"/>
          <w:b/>
          <w:bCs/>
          <w:lang w:eastAsia="es-CO"/>
        </w:rPr>
      </w:pPr>
    </w:p>
    <w:p w14:paraId="2F53C5D8" w14:textId="50E48884" w:rsidR="00D9689E" w:rsidRPr="002D532C" w:rsidRDefault="00D9689E" w:rsidP="002D532C">
      <w:pPr>
        <w:spacing w:after="0" w:line="240" w:lineRule="auto"/>
        <w:jc w:val="both"/>
        <w:rPr>
          <w:rFonts w:ascii="Arial" w:eastAsia="Times New Roman" w:hAnsi="Arial" w:cs="Arial"/>
          <w:color w:val="000000"/>
          <w:lang w:eastAsia="es-CO"/>
        </w:rPr>
      </w:pPr>
      <w:r w:rsidRPr="002D532C">
        <w:rPr>
          <w:rFonts w:ascii="Arial" w:eastAsia="Times New Roman" w:hAnsi="Arial" w:cs="Arial"/>
          <w:color w:val="000000"/>
          <w:lang w:eastAsia="es-CO"/>
        </w:rPr>
        <w:t>Según los datos disponibles en el sistema de notificación SIVIGILA, desde la Subred Integrada de Servicios de Salud Norte E.S.E., no es fácil realizar un análisis preciso de la coinfección de VIH con otras infecciones de transmisión sexual (ITS), ya que, en su mayoría, los casos ingresados al sistema no reportan información sobre coinfecciones. No obstante, con la información accesible, se ha logrado identificar</w:t>
      </w:r>
      <w:r w:rsidR="005B5307" w:rsidRPr="002D532C">
        <w:rPr>
          <w:rFonts w:ascii="Arial" w:eastAsia="Times New Roman" w:hAnsi="Arial" w:cs="Arial"/>
          <w:color w:val="000000"/>
          <w:lang w:eastAsia="es-CO"/>
        </w:rPr>
        <w:t xml:space="preserve"> </w:t>
      </w:r>
      <w:r w:rsidR="00400306" w:rsidRPr="002D532C">
        <w:rPr>
          <w:rFonts w:ascii="Arial" w:eastAsia="Times New Roman" w:hAnsi="Arial" w:cs="Arial"/>
          <w:color w:val="000000"/>
          <w:lang w:eastAsia="es-CO"/>
        </w:rPr>
        <w:t>que l</w:t>
      </w:r>
      <w:r w:rsidRPr="002D532C">
        <w:rPr>
          <w:rFonts w:ascii="Arial" w:eastAsia="Times New Roman" w:hAnsi="Arial" w:cs="Arial"/>
          <w:color w:val="000000"/>
          <w:lang w:eastAsia="es-CO"/>
        </w:rPr>
        <w:t>a coinfección con Herpes zóster se presenta en el 0,31%, con Hepatitis B se observa en el 0,59% de los casos</w:t>
      </w:r>
      <w:r w:rsidR="005B5307" w:rsidRPr="002D532C">
        <w:rPr>
          <w:rFonts w:ascii="Arial" w:eastAsia="Times New Roman" w:hAnsi="Arial" w:cs="Arial"/>
          <w:color w:val="000000"/>
          <w:lang w:eastAsia="es-CO"/>
        </w:rPr>
        <w:t xml:space="preserve"> y </w:t>
      </w:r>
      <w:r w:rsidRPr="002D532C">
        <w:rPr>
          <w:rFonts w:ascii="Arial" w:eastAsia="Times New Roman" w:hAnsi="Arial" w:cs="Arial"/>
          <w:color w:val="000000"/>
          <w:lang w:eastAsia="es-CO"/>
        </w:rPr>
        <w:t>con Hepatitis C se presenta en el 0,41% de los casos</w:t>
      </w:r>
      <w:r w:rsidR="005B5307" w:rsidRPr="002D532C">
        <w:rPr>
          <w:rFonts w:ascii="Arial" w:eastAsia="Times New Roman" w:hAnsi="Arial" w:cs="Arial"/>
          <w:color w:val="000000"/>
          <w:lang w:eastAsia="es-CO"/>
        </w:rPr>
        <w:t xml:space="preserve"> notificados</w:t>
      </w:r>
      <w:r w:rsidRPr="002D532C">
        <w:rPr>
          <w:rFonts w:ascii="Arial" w:eastAsia="Times New Roman" w:hAnsi="Arial" w:cs="Arial"/>
          <w:color w:val="000000"/>
          <w:lang w:eastAsia="es-CO"/>
        </w:rPr>
        <w:t>.</w:t>
      </w:r>
    </w:p>
    <w:p w14:paraId="3BD9C350" w14:textId="77777777" w:rsidR="00D9689E" w:rsidRPr="002D532C" w:rsidRDefault="00D9689E" w:rsidP="002D532C">
      <w:pPr>
        <w:spacing w:after="0" w:line="240" w:lineRule="auto"/>
        <w:jc w:val="both"/>
        <w:rPr>
          <w:rFonts w:ascii="Arial" w:eastAsia="Times New Roman" w:hAnsi="Arial" w:cs="Arial"/>
          <w:color w:val="000000"/>
          <w:lang w:eastAsia="es-CO"/>
        </w:rPr>
      </w:pPr>
    </w:p>
    <w:p w14:paraId="1A6135A9" w14:textId="2C26B7B8" w:rsidR="00285316" w:rsidRPr="002D532C" w:rsidRDefault="00D9689E" w:rsidP="002D532C">
      <w:pPr>
        <w:spacing w:after="0" w:line="240" w:lineRule="auto"/>
        <w:jc w:val="both"/>
        <w:rPr>
          <w:rFonts w:ascii="Arial" w:hAnsi="Arial" w:cs="Arial"/>
        </w:rPr>
      </w:pPr>
      <w:r w:rsidRPr="002D532C">
        <w:rPr>
          <w:rFonts w:ascii="Arial" w:eastAsia="Times New Roman" w:hAnsi="Arial" w:cs="Arial"/>
          <w:color w:val="000000"/>
          <w:lang w:eastAsia="es-CO"/>
        </w:rPr>
        <w:t>Este análisis refleja las coinfecciones que han sido identificadas en los casos notificados, aunque es importante tener en cuenta las limitaciones del sistema de notificación en cuanto a la recopilación de datos sobre coinfecciones.</w:t>
      </w:r>
    </w:p>
    <w:sectPr w:rsidR="00285316" w:rsidRPr="002D532C" w:rsidSect="000A2600">
      <w:headerReference w:type="default" r:id="rId9"/>
      <w:footerReference w:type="default" r:id="rId10"/>
      <w:pgSz w:w="12240" w:h="15840"/>
      <w:pgMar w:top="1701"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B0C31" w14:textId="77777777" w:rsidR="004B655D" w:rsidRDefault="004B655D" w:rsidP="00B80719">
      <w:pPr>
        <w:spacing w:after="0" w:line="240" w:lineRule="auto"/>
      </w:pPr>
      <w:r>
        <w:separator/>
      </w:r>
    </w:p>
  </w:endnote>
  <w:endnote w:type="continuationSeparator" w:id="0">
    <w:p w14:paraId="3A2E9B26" w14:textId="77777777" w:rsidR="004B655D" w:rsidRDefault="004B655D" w:rsidP="00B80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E1A50" w14:textId="77777777" w:rsidR="00B80719" w:rsidRDefault="000A2600">
    <w:pPr>
      <w:pStyle w:val="Piedepgina"/>
    </w:pPr>
    <w:r>
      <w:rPr>
        <w:noProof/>
        <w:lang w:eastAsia="es-CO"/>
      </w:rPr>
      <w:drawing>
        <wp:anchor distT="0" distB="0" distL="114300" distR="114300" simplePos="0" relativeHeight="251659264" behindDoc="0" locked="0" layoutInCell="1" allowOverlap="1" wp14:anchorId="0AF8BC77" wp14:editId="0362C50D">
          <wp:simplePos x="0" y="0"/>
          <wp:positionH relativeFrom="margin">
            <wp:posOffset>-1264920</wp:posOffset>
          </wp:positionH>
          <wp:positionV relativeFrom="page">
            <wp:posOffset>8871585</wp:posOffset>
          </wp:positionV>
          <wp:extent cx="8227060" cy="1176655"/>
          <wp:effectExtent l="0" t="0" r="2540" b="4445"/>
          <wp:wrapSquare wrapText="bothSides"/>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8227060" cy="117665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27C19" w14:textId="77777777" w:rsidR="004B655D" w:rsidRDefault="004B655D" w:rsidP="00B80719">
      <w:pPr>
        <w:spacing w:after="0" w:line="240" w:lineRule="auto"/>
      </w:pPr>
      <w:r>
        <w:separator/>
      </w:r>
    </w:p>
  </w:footnote>
  <w:footnote w:type="continuationSeparator" w:id="0">
    <w:p w14:paraId="2E33357F" w14:textId="77777777" w:rsidR="004B655D" w:rsidRDefault="004B655D" w:rsidP="00B80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4C014" w14:textId="77777777" w:rsidR="00B80719" w:rsidRDefault="00B80719">
    <w:pPr>
      <w:pStyle w:val="Encabezado"/>
    </w:pPr>
    <w:r>
      <w:rPr>
        <w:noProof/>
        <w:lang w:eastAsia="es-CO"/>
      </w:rPr>
      <w:drawing>
        <wp:anchor distT="0" distB="0" distL="114300" distR="114300" simplePos="0" relativeHeight="251658240" behindDoc="0" locked="0" layoutInCell="1" allowOverlap="1" wp14:anchorId="7DE10D16" wp14:editId="3DC007D1">
          <wp:simplePos x="0" y="0"/>
          <wp:positionH relativeFrom="margin">
            <wp:posOffset>-1101725</wp:posOffset>
          </wp:positionH>
          <wp:positionV relativeFrom="paragraph">
            <wp:posOffset>-297815</wp:posOffset>
          </wp:positionV>
          <wp:extent cx="7817485" cy="1090930"/>
          <wp:effectExtent l="0" t="0" r="0" b="0"/>
          <wp:wrapSquare wrapText="bothSides"/>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17485" cy="109093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D5791"/>
    <w:multiLevelType w:val="hybridMultilevel"/>
    <w:tmpl w:val="438CBD12"/>
    <w:lvl w:ilvl="0" w:tplc="3E48BBDA">
      <w:start w:val="3"/>
      <w:numFmt w:val="bullet"/>
      <w:lvlText w:val="-"/>
      <w:lvlJc w:val="left"/>
      <w:pPr>
        <w:ind w:left="1080" w:hanging="360"/>
      </w:pPr>
      <w:rPr>
        <w:rFonts w:ascii="Calibri" w:eastAsiaTheme="minorHAnsi" w:hAnsi="Calibri" w:cs="Calibr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15:restartNumberingAfterBreak="0">
    <w:nsid w:val="02BE5AF2"/>
    <w:multiLevelType w:val="hybridMultilevel"/>
    <w:tmpl w:val="7C52EF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084014"/>
    <w:multiLevelType w:val="multilevel"/>
    <w:tmpl w:val="F0C44F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3D618D"/>
    <w:multiLevelType w:val="hybridMultilevel"/>
    <w:tmpl w:val="5BA8D576"/>
    <w:lvl w:ilvl="0" w:tplc="240A000F">
      <w:start w:val="8"/>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1064770"/>
    <w:multiLevelType w:val="hybridMultilevel"/>
    <w:tmpl w:val="AD80B5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57969ED"/>
    <w:multiLevelType w:val="hybridMultilevel"/>
    <w:tmpl w:val="DB2229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056285F"/>
    <w:multiLevelType w:val="hybridMultilevel"/>
    <w:tmpl w:val="1EC842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61413876"/>
    <w:multiLevelType w:val="hybridMultilevel"/>
    <w:tmpl w:val="ECD2DC7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2E75060"/>
    <w:multiLevelType w:val="hybridMultilevel"/>
    <w:tmpl w:val="5E6A70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6B95E74"/>
    <w:multiLevelType w:val="hybridMultilevel"/>
    <w:tmpl w:val="C27488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F954BF3"/>
    <w:multiLevelType w:val="hybridMultilevel"/>
    <w:tmpl w:val="69C2A930"/>
    <w:lvl w:ilvl="0" w:tplc="C0FC12B8">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1"/>
  </w:num>
  <w:num w:numId="5">
    <w:abstractNumId w:val="5"/>
  </w:num>
  <w:num w:numId="6">
    <w:abstractNumId w:val="7"/>
  </w:num>
  <w:num w:numId="7">
    <w:abstractNumId w:val="2"/>
  </w:num>
  <w:num w:numId="8">
    <w:abstractNumId w:val="10"/>
  </w:num>
  <w:num w:numId="9">
    <w:abstractNumId w:val="6"/>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719"/>
    <w:rsid w:val="00020A5B"/>
    <w:rsid w:val="000216E9"/>
    <w:rsid w:val="00032158"/>
    <w:rsid w:val="00040A33"/>
    <w:rsid w:val="0004194E"/>
    <w:rsid w:val="00046AF1"/>
    <w:rsid w:val="0004750A"/>
    <w:rsid w:val="000568A4"/>
    <w:rsid w:val="000617A4"/>
    <w:rsid w:val="00070589"/>
    <w:rsid w:val="00073601"/>
    <w:rsid w:val="00073CC8"/>
    <w:rsid w:val="000807CA"/>
    <w:rsid w:val="0008693A"/>
    <w:rsid w:val="000961F3"/>
    <w:rsid w:val="000A2600"/>
    <w:rsid w:val="000A70E7"/>
    <w:rsid w:val="000D0587"/>
    <w:rsid w:val="000D135D"/>
    <w:rsid w:val="000E0A17"/>
    <w:rsid w:val="000E47EA"/>
    <w:rsid w:val="000F13DF"/>
    <w:rsid w:val="00111084"/>
    <w:rsid w:val="00111A00"/>
    <w:rsid w:val="00124544"/>
    <w:rsid w:val="001258DA"/>
    <w:rsid w:val="00125CF3"/>
    <w:rsid w:val="0013325E"/>
    <w:rsid w:val="00133A9F"/>
    <w:rsid w:val="00157F3C"/>
    <w:rsid w:val="00162487"/>
    <w:rsid w:val="00163ACF"/>
    <w:rsid w:val="0017565C"/>
    <w:rsid w:val="001A04EE"/>
    <w:rsid w:val="001B43FC"/>
    <w:rsid w:val="001B72A7"/>
    <w:rsid w:val="001E55C6"/>
    <w:rsid w:val="001E7B67"/>
    <w:rsid w:val="002039BD"/>
    <w:rsid w:val="0021256C"/>
    <w:rsid w:val="00222DFE"/>
    <w:rsid w:val="0022415E"/>
    <w:rsid w:val="00252B8C"/>
    <w:rsid w:val="00262174"/>
    <w:rsid w:val="00262AB9"/>
    <w:rsid w:val="00262D69"/>
    <w:rsid w:val="00274A76"/>
    <w:rsid w:val="00285316"/>
    <w:rsid w:val="002B4693"/>
    <w:rsid w:val="002B4A9B"/>
    <w:rsid w:val="002D32C0"/>
    <w:rsid w:val="002D532C"/>
    <w:rsid w:val="002D59F7"/>
    <w:rsid w:val="002F7514"/>
    <w:rsid w:val="0032154F"/>
    <w:rsid w:val="00334876"/>
    <w:rsid w:val="0037058B"/>
    <w:rsid w:val="003710E2"/>
    <w:rsid w:val="00381C69"/>
    <w:rsid w:val="00396C18"/>
    <w:rsid w:val="003A57CD"/>
    <w:rsid w:val="003A7CCB"/>
    <w:rsid w:val="003C067E"/>
    <w:rsid w:val="003C6479"/>
    <w:rsid w:val="003D028A"/>
    <w:rsid w:val="003E4BEF"/>
    <w:rsid w:val="003E6BE7"/>
    <w:rsid w:val="003F0AD1"/>
    <w:rsid w:val="003F0C1B"/>
    <w:rsid w:val="003F157C"/>
    <w:rsid w:val="003F57CF"/>
    <w:rsid w:val="00400306"/>
    <w:rsid w:val="00404EA4"/>
    <w:rsid w:val="00406E31"/>
    <w:rsid w:val="0041457A"/>
    <w:rsid w:val="004267EF"/>
    <w:rsid w:val="00430C22"/>
    <w:rsid w:val="00432B3B"/>
    <w:rsid w:val="004423AA"/>
    <w:rsid w:val="00442C6A"/>
    <w:rsid w:val="00444EF5"/>
    <w:rsid w:val="00445DCD"/>
    <w:rsid w:val="00456C64"/>
    <w:rsid w:val="00461757"/>
    <w:rsid w:val="00467B8C"/>
    <w:rsid w:val="0047364A"/>
    <w:rsid w:val="004747D1"/>
    <w:rsid w:val="00480192"/>
    <w:rsid w:val="00484F50"/>
    <w:rsid w:val="004914F4"/>
    <w:rsid w:val="004A02E5"/>
    <w:rsid w:val="004A12DD"/>
    <w:rsid w:val="004B655D"/>
    <w:rsid w:val="004B7418"/>
    <w:rsid w:val="004C4F86"/>
    <w:rsid w:val="004C6699"/>
    <w:rsid w:val="004E6FCE"/>
    <w:rsid w:val="004F1ADF"/>
    <w:rsid w:val="004F5217"/>
    <w:rsid w:val="005038B1"/>
    <w:rsid w:val="00511432"/>
    <w:rsid w:val="00512AAF"/>
    <w:rsid w:val="0051374A"/>
    <w:rsid w:val="00534DAD"/>
    <w:rsid w:val="0055123B"/>
    <w:rsid w:val="005543B4"/>
    <w:rsid w:val="00585E0A"/>
    <w:rsid w:val="00597EED"/>
    <w:rsid w:val="005B5307"/>
    <w:rsid w:val="005B6844"/>
    <w:rsid w:val="005B7664"/>
    <w:rsid w:val="005B7EAE"/>
    <w:rsid w:val="005E6926"/>
    <w:rsid w:val="005F09B2"/>
    <w:rsid w:val="00603592"/>
    <w:rsid w:val="006322A3"/>
    <w:rsid w:val="00632300"/>
    <w:rsid w:val="006359EB"/>
    <w:rsid w:val="00642725"/>
    <w:rsid w:val="006603BC"/>
    <w:rsid w:val="006744EC"/>
    <w:rsid w:val="006818FF"/>
    <w:rsid w:val="006820DE"/>
    <w:rsid w:val="00692A02"/>
    <w:rsid w:val="006A025F"/>
    <w:rsid w:val="006A4DBC"/>
    <w:rsid w:val="006A76B4"/>
    <w:rsid w:val="006B55D4"/>
    <w:rsid w:val="006B5A74"/>
    <w:rsid w:val="006C2702"/>
    <w:rsid w:val="006C348C"/>
    <w:rsid w:val="006F0E80"/>
    <w:rsid w:val="006F2AAA"/>
    <w:rsid w:val="0071218D"/>
    <w:rsid w:val="0071252A"/>
    <w:rsid w:val="00721ADE"/>
    <w:rsid w:val="00731387"/>
    <w:rsid w:val="007347CC"/>
    <w:rsid w:val="00741B44"/>
    <w:rsid w:val="00764FA6"/>
    <w:rsid w:val="00767926"/>
    <w:rsid w:val="007764CB"/>
    <w:rsid w:val="00784368"/>
    <w:rsid w:val="00790724"/>
    <w:rsid w:val="0079373A"/>
    <w:rsid w:val="007A40ED"/>
    <w:rsid w:val="007A5862"/>
    <w:rsid w:val="007D7715"/>
    <w:rsid w:val="007E76D0"/>
    <w:rsid w:val="0080170D"/>
    <w:rsid w:val="00805827"/>
    <w:rsid w:val="00823391"/>
    <w:rsid w:val="00826035"/>
    <w:rsid w:val="00836125"/>
    <w:rsid w:val="00837D84"/>
    <w:rsid w:val="00840344"/>
    <w:rsid w:val="008662E6"/>
    <w:rsid w:val="0088074D"/>
    <w:rsid w:val="008816E3"/>
    <w:rsid w:val="008959B5"/>
    <w:rsid w:val="008969B5"/>
    <w:rsid w:val="008A17DF"/>
    <w:rsid w:val="008A77AE"/>
    <w:rsid w:val="008C2784"/>
    <w:rsid w:val="008D0299"/>
    <w:rsid w:val="008F4077"/>
    <w:rsid w:val="008F4DB3"/>
    <w:rsid w:val="00920BEA"/>
    <w:rsid w:val="00920EFB"/>
    <w:rsid w:val="009219E7"/>
    <w:rsid w:val="00936712"/>
    <w:rsid w:val="0094525F"/>
    <w:rsid w:val="00945823"/>
    <w:rsid w:val="0095785E"/>
    <w:rsid w:val="00961E71"/>
    <w:rsid w:val="00972427"/>
    <w:rsid w:val="009927E7"/>
    <w:rsid w:val="009970C1"/>
    <w:rsid w:val="00997206"/>
    <w:rsid w:val="009A0F0D"/>
    <w:rsid w:val="009A5686"/>
    <w:rsid w:val="009A6369"/>
    <w:rsid w:val="009C4706"/>
    <w:rsid w:val="009D0D18"/>
    <w:rsid w:val="009D0E36"/>
    <w:rsid w:val="00A15159"/>
    <w:rsid w:val="00A17F07"/>
    <w:rsid w:val="00A25A34"/>
    <w:rsid w:val="00A52C10"/>
    <w:rsid w:val="00A6443F"/>
    <w:rsid w:val="00A9217F"/>
    <w:rsid w:val="00A9545B"/>
    <w:rsid w:val="00A97812"/>
    <w:rsid w:val="00AA76B0"/>
    <w:rsid w:val="00AB141B"/>
    <w:rsid w:val="00AB6D81"/>
    <w:rsid w:val="00AC1FEC"/>
    <w:rsid w:val="00AF7FCF"/>
    <w:rsid w:val="00B02E7C"/>
    <w:rsid w:val="00B2237E"/>
    <w:rsid w:val="00B26C41"/>
    <w:rsid w:val="00B35617"/>
    <w:rsid w:val="00B52F43"/>
    <w:rsid w:val="00B7710B"/>
    <w:rsid w:val="00B7716E"/>
    <w:rsid w:val="00B80719"/>
    <w:rsid w:val="00B878D6"/>
    <w:rsid w:val="00B9164C"/>
    <w:rsid w:val="00B924A9"/>
    <w:rsid w:val="00B9446E"/>
    <w:rsid w:val="00BB2F1F"/>
    <w:rsid w:val="00BB54C5"/>
    <w:rsid w:val="00BE3871"/>
    <w:rsid w:val="00BE7913"/>
    <w:rsid w:val="00C01AA0"/>
    <w:rsid w:val="00C135AA"/>
    <w:rsid w:val="00C17087"/>
    <w:rsid w:val="00C212FC"/>
    <w:rsid w:val="00C21453"/>
    <w:rsid w:val="00C31966"/>
    <w:rsid w:val="00C321DF"/>
    <w:rsid w:val="00C36C49"/>
    <w:rsid w:val="00C70D49"/>
    <w:rsid w:val="00C80ADC"/>
    <w:rsid w:val="00C93456"/>
    <w:rsid w:val="00CB1046"/>
    <w:rsid w:val="00CB3DDB"/>
    <w:rsid w:val="00CB5F3D"/>
    <w:rsid w:val="00CB75A6"/>
    <w:rsid w:val="00CB7D56"/>
    <w:rsid w:val="00CC7F82"/>
    <w:rsid w:val="00CE0CBA"/>
    <w:rsid w:val="00CE7C8F"/>
    <w:rsid w:val="00CF7C60"/>
    <w:rsid w:val="00D22909"/>
    <w:rsid w:val="00D43412"/>
    <w:rsid w:val="00D47C78"/>
    <w:rsid w:val="00D55CAE"/>
    <w:rsid w:val="00D717C3"/>
    <w:rsid w:val="00D73255"/>
    <w:rsid w:val="00D76584"/>
    <w:rsid w:val="00D81B42"/>
    <w:rsid w:val="00D83AF2"/>
    <w:rsid w:val="00D87449"/>
    <w:rsid w:val="00D94679"/>
    <w:rsid w:val="00D9689E"/>
    <w:rsid w:val="00DA12E7"/>
    <w:rsid w:val="00DA21C4"/>
    <w:rsid w:val="00DB3B0E"/>
    <w:rsid w:val="00DD4BE2"/>
    <w:rsid w:val="00DE2F8F"/>
    <w:rsid w:val="00DE417A"/>
    <w:rsid w:val="00DE5ABE"/>
    <w:rsid w:val="00DF52CA"/>
    <w:rsid w:val="00E046C6"/>
    <w:rsid w:val="00E13FDC"/>
    <w:rsid w:val="00E15907"/>
    <w:rsid w:val="00E16092"/>
    <w:rsid w:val="00E37DA8"/>
    <w:rsid w:val="00E471E5"/>
    <w:rsid w:val="00E65D54"/>
    <w:rsid w:val="00EA29B2"/>
    <w:rsid w:val="00EB6389"/>
    <w:rsid w:val="00ED1755"/>
    <w:rsid w:val="00ED2C30"/>
    <w:rsid w:val="00ED5B5B"/>
    <w:rsid w:val="00EF5BBB"/>
    <w:rsid w:val="00F013E7"/>
    <w:rsid w:val="00F401D0"/>
    <w:rsid w:val="00F42706"/>
    <w:rsid w:val="00F60A85"/>
    <w:rsid w:val="00F6170F"/>
    <w:rsid w:val="00F8502E"/>
    <w:rsid w:val="00F869B7"/>
    <w:rsid w:val="00F93ED5"/>
    <w:rsid w:val="00FC0281"/>
    <w:rsid w:val="00FC72F9"/>
    <w:rsid w:val="00FD0FFC"/>
    <w:rsid w:val="00FF36B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05BCD7"/>
  <w15:docId w15:val="{7249B879-C642-48F1-AEA5-27AAEBD5E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256C"/>
    <w:pPr>
      <w:spacing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8071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80719"/>
  </w:style>
  <w:style w:type="paragraph" w:styleId="Piedepgina">
    <w:name w:val="footer"/>
    <w:basedOn w:val="Normal"/>
    <w:link w:val="PiedepginaCar"/>
    <w:uiPriority w:val="99"/>
    <w:unhideWhenUsed/>
    <w:rsid w:val="00B8071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80719"/>
  </w:style>
  <w:style w:type="paragraph" w:styleId="Sinespaciado">
    <w:name w:val="No Spacing"/>
    <w:aliases w:val="Aries,k,Sin espaciado2,No Spacing"/>
    <w:link w:val="SinespaciadoCar"/>
    <w:uiPriority w:val="1"/>
    <w:qFormat/>
    <w:rsid w:val="00157F3C"/>
    <w:pPr>
      <w:spacing w:after="0" w:line="240" w:lineRule="auto"/>
    </w:pPr>
    <w:rPr>
      <w:rFonts w:ascii="Calibri" w:eastAsia="Calibri" w:hAnsi="Calibri" w:cs="Times New Roman"/>
    </w:rPr>
  </w:style>
  <w:style w:type="paragraph" w:customStyle="1" w:styleId="Standard">
    <w:name w:val="Standard"/>
    <w:rsid w:val="00157F3C"/>
    <w:pPr>
      <w:widowControl w:val="0"/>
      <w:suppressAutoHyphens/>
      <w:autoSpaceDN w:val="0"/>
      <w:spacing w:after="0" w:line="240" w:lineRule="auto"/>
      <w:textAlignment w:val="baseline"/>
    </w:pPr>
    <w:rPr>
      <w:rFonts w:ascii="Times New Roman" w:eastAsia="Arial Unicode MS" w:hAnsi="Times New Roman" w:cs="Tahoma"/>
      <w:kern w:val="3"/>
      <w:sz w:val="24"/>
      <w:szCs w:val="24"/>
      <w:lang w:val="es-ES" w:eastAsia="es-ES"/>
    </w:rPr>
  </w:style>
  <w:style w:type="paragraph" w:customStyle="1" w:styleId="Default">
    <w:name w:val="Default"/>
    <w:rsid w:val="00D73255"/>
    <w:pPr>
      <w:autoSpaceDE w:val="0"/>
      <w:autoSpaceDN w:val="0"/>
      <w:adjustRightInd w:val="0"/>
      <w:spacing w:after="0" w:line="240" w:lineRule="auto"/>
    </w:pPr>
    <w:rPr>
      <w:rFonts w:ascii="Arial Narrow" w:eastAsia="Times New Roman" w:hAnsi="Arial Narrow" w:cs="Arial Narrow"/>
      <w:color w:val="000000"/>
      <w:sz w:val="24"/>
      <w:szCs w:val="24"/>
      <w:lang w:eastAsia="es-CO"/>
    </w:rPr>
  </w:style>
  <w:style w:type="character" w:customStyle="1" w:styleId="SinespaciadoCar">
    <w:name w:val="Sin espaciado Car"/>
    <w:aliases w:val="Aries Car,k Car,Sin espaciado2 Car,No Spacing Car"/>
    <w:link w:val="Sinespaciado"/>
    <w:uiPriority w:val="1"/>
    <w:locked/>
    <w:rsid w:val="00D73255"/>
    <w:rPr>
      <w:rFonts w:ascii="Calibri" w:eastAsia="Calibri" w:hAnsi="Calibri" w:cs="Times New Roman"/>
    </w:rPr>
  </w:style>
  <w:style w:type="paragraph" w:styleId="Lista">
    <w:name w:val="List"/>
    <w:basedOn w:val="Textoindependiente"/>
    <w:rsid w:val="006C348C"/>
    <w:pPr>
      <w:suppressAutoHyphens/>
      <w:spacing w:after="0" w:line="240" w:lineRule="auto"/>
      <w:jc w:val="both"/>
    </w:pPr>
    <w:rPr>
      <w:rFonts w:ascii="Arial" w:eastAsia="Times New Roman" w:hAnsi="Arial" w:cs="Tahoma"/>
      <w:sz w:val="24"/>
      <w:szCs w:val="20"/>
      <w:lang w:eastAsia="ar-SA"/>
    </w:rPr>
  </w:style>
  <w:style w:type="paragraph" w:styleId="Textoindependiente">
    <w:name w:val="Body Text"/>
    <w:basedOn w:val="Normal"/>
    <w:link w:val="TextoindependienteCar"/>
    <w:uiPriority w:val="99"/>
    <w:semiHidden/>
    <w:unhideWhenUsed/>
    <w:rsid w:val="006C348C"/>
    <w:pPr>
      <w:spacing w:after="120"/>
    </w:pPr>
  </w:style>
  <w:style w:type="character" w:customStyle="1" w:styleId="TextoindependienteCar">
    <w:name w:val="Texto independiente Car"/>
    <w:basedOn w:val="Fuentedeprrafopredeter"/>
    <w:link w:val="Textoindependiente"/>
    <w:uiPriority w:val="99"/>
    <w:semiHidden/>
    <w:rsid w:val="006C348C"/>
  </w:style>
  <w:style w:type="character" w:styleId="Hipervnculo">
    <w:name w:val="Hyperlink"/>
    <w:basedOn w:val="Fuentedeprrafopredeter"/>
    <w:uiPriority w:val="99"/>
    <w:unhideWhenUsed/>
    <w:rsid w:val="00D76584"/>
    <w:rPr>
      <w:color w:val="0563C1" w:themeColor="hyperlink"/>
      <w:u w:val="single"/>
    </w:rPr>
  </w:style>
  <w:style w:type="character" w:customStyle="1" w:styleId="UnresolvedMention">
    <w:name w:val="Unresolved Mention"/>
    <w:basedOn w:val="Fuentedeprrafopredeter"/>
    <w:uiPriority w:val="99"/>
    <w:semiHidden/>
    <w:unhideWhenUsed/>
    <w:rsid w:val="00D76584"/>
    <w:rPr>
      <w:color w:val="605E5C"/>
      <w:shd w:val="clear" w:color="auto" w:fill="E1DFDD"/>
    </w:rPr>
  </w:style>
  <w:style w:type="paragraph" w:styleId="Prrafodelista">
    <w:name w:val="List Paragraph"/>
    <w:basedOn w:val="Normal"/>
    <w:uiPriority w:val="34"/>
    <w:qFormat/>
    <w:rsid w:val="00285316"/>
    <w:pPr>
      <w:spacing w:line="259" w:lineRule="auto"/>
      <w:ind w:left="720"/>
      <w:contextualSpacing/>
    </w:pPr>
  </w:style>
  <w:style w:type="table" w:styleId="Tablaconcuadrcula">
    <w:name w:val="Table Grid"/>
    <w:basedOn w:val="Tablanormal"/>
    <w:uiPriority w:val="39"/>
    <w:rsid w:val="00D9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4F5217"/>
    <w:pPr>
      <w:spacing w:before="100" w:beforeAutospacing="1" w:after="100" w:afterAutospacing="1" w:line="240" w:lineRule="auto"/>
    </w:pPr>
    <w:rPr>
      <w:rFonts w:ascii="Times New Roman" w:eastAsiaTheme="minorEastAsia" w:hAnsi="Times New Roman" w:cs="Times New Roman"/>
      <w:sz w:val="24"/>
      <w:szCs w:val="24"/>
      <w:lang w:eastAsia="es-ES"/>
    </w:rPr>
  </w:style>
  <w:style w:type="character" w:customStyle="1" w:styleId="s1">
    <w:name w:val="s1"/>
    <w:basedOn w:val="Fuentedeprrafopredeter"/>
    <w:rsid w:val="004F5217"/>
  </w:style>
  <w:style w:type="paragraph" w:customStyle="1" w:styleId="p2">
    <w:name w:val="p2"/>
    <w:basedOn w:val="Normal"/>
    <w:rsid w:val="004F5217"/>
    <w:pPr>
      <w:spacing w:before="100" w:beforeAutospacing="1" w:after="100" w:afterAutospacing="1" w:line="240" w:lineRule="auto"/>
    </w:pPr>
    <w:rPr>
      <w:rFonts w:ascii="Times New Roman" w:eastAsiaTheme="minorEastAsia"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731686">
      <w:bodyDiv w:val="1"/>
      <w:marLeft w:val="0"/>
      <w:marRight w:val="0"/>
      <w:marTop w:val="0"/>
      <w:marBottom w:val="0"/>
      <w:divBdr>
        <w:top w:val="none" w:sz="0" w:space="0" w:color="auto"/>
        <w:left w:val="none" w:sz="0" w:space="0" w:color="auto"/>
        <w:bottom w:val="none" w:sz="0" w:space="0" w:color="auto"/>
        <w:right w:val="none" w:sz="0" w:space="0" w:color="auto"/>
      </w:divBdr>
    </w:div>
    <w:div w:id="391732617">
      <w:bodyDiv w:val="1"/>
      <w:marLeft w:val="0"/>
      <w:marRight w:val="0"/>
      <w:marTop w:val="0"/>
      <w:marBottom w:val="0"/>
      <w:divBdr>
        <w:top w:val="none" w:sz="0" w:space="0" w:color="auto"/>
        <w:left w:val="none" w:sz="0" w:space="0" w:color="auto"/>
        <w:bottom w:val="none" w:sz="0" w:space="0" w:color="auto"/>
        <w:right w:val="none" w:sz="0" w:space="0" w:color="auto"/>
      </w:divBdr>
      <w:divsChild>
        <w:div w:id="1040321844">
          <w:marLeft w:val="0"/>
          <w:marRight w:val="0"/>
          <w:marTop w:val="0"/>
          <w:marBottom w:val="0"/>
          <w:divBdr>
            <w:top w:val="none" w:sz="0" w:space="0" w:color="auto"/>
            <w:left w:val="none" w:sz="0" w:space="0" w:color="auto"/>
            <w:bottom w:val="none" w:sz="0" w:space="0" w:color="auto"/>
            <w:right w:val="none" w:sz="0" w:space="0" w:color="auto"/>
          </w:divBdr>
        </w:div>
      </w:divsChild>
    </w:div>
    <w:div w:id="399131762">
      <w:bodyDiv w:val="1"/>
      <w:marLeft w:val="0"/>
      <w:marRight w:val="0"/>
      <w:marTop w:val="0"/>
      <w:marBottom w:val="0"/>
      <w:divBdr>
        <w:top w:val="none" w:sz="0" w:space="0" w:color="auto"/>
        <w:left w:val="none" w:sz="0" w:space="0" w:color="auto"/>
        <w:bottom w:val="none" w:sz="0" w:space="0" w:color="auto"/>
        <w:right w:val="none" w:sz="0" w:space="0" w:color="auto"/>
      </w:divBdr>
    </w:div>
    <w:div w:id="572857534">
      <w:bodyDiv w:val="1"/>
      <w:marLeft w:val="0"/>
      <w:marRight w:val="0"/>
      <w:marTop w:val="0"/>
      <w:marBottom w:val="0"/>
      <w:divBdr>
        <w:top w:val="none" w:sz="0" w:space="0" w:color="auto"/>
        <w:left w:val="none" w:sz="0" w:space="0" w:color="auto"/>
        <w:bottom w:val="none" w:sz="0" w:space="0" w:color="auto"/>
        <w:right w:val="none" w:sz="0" w:space="0" w:color="auto"/>
      </w:divBdr>
    </w:div>
    <w:div w:id="943924815">
      <w:bodyDiv w:val="1"/>
      <w:marLeft w:val="0"/>
      <w:marRight w:val="0"/>
      <w:marTop w:val="0"/>
      <w:marBottom w:val="0"/>
      <w:divBdr>
        <w:top w:val="none" w:sz="0" w:space="0" w:color="auto"/>
        <w:left w:val="none" w:sz="0" w:space="0" w:color="auto"/>
        <w:bottom w:val="none" w:sz="0" w:space="0" w:color="auto"/>
        <w:right w:val="none" w:sz="0" w:space="0" w:color="auto"/>
      </w:divBdr>
    </w:div>
    <w:div w:id="1110735025">
      <w:bodyDiv w:val="1"/>
      <w:marLeft w:val="0"/>
      <w:marRight w:val="0"/>
      <w:marTop w:val="0"/>
      <w:marBottom w:val="0"/>
      <w:divBdr>
        <w:top w:val="none" w:sz="0" w:space="0" w:color="auto"/>
        <w:left w:val="none" w:sz="0" w:space="0" w:color="auto"/>
        <w:bottom w:val="none" w:sz="0" w:space="0" w:color="auto"/>
        <w:right w:val="none" w:sz="0" w:space="0" w:color="auto"/>
      </w:divBdr>
    </w:div>
    <w:div w:id="1314795112">
      <w:bodyDiv w:val="1"/>
      <w:marLeft w:val="0"/>
      <w:marRight w:val="0"/>
      <w:marTop w:val="0"/>
      <w:marBottom w:val="0"/>
      <w:divBdr>
        <w:top w:val="none" w:sz="0" w:space="0" w:color="auto"/>
        <w:left w:val="none" w:sz="0" w:space="0" w:color="auto"/>
        <w:bottom w:val="none" w:sz="0" w:space="0" w:color="auto"/>
        <w:right w:val="none" w:sz="0" w:space="0" w:color="auto"/>
      </w:divBdr>
    </w:div>
    <w:div w:id="1564759707">
      <w:bodyDiv w:val="1"/>
      <w:marLeft w:val="0"/>
      <w:marRight w:val="0"/>
      <w:marTop w:val="0"/>
      <w:marBottom w:val="0"/>
      <w:divBdr>
        <w:top w:val="none" w:sz="0" w:space="0" w:color="auto"/>
        <w:left w:val="none" w:sz="0" w:space="0" w:color="auto"/>
        <w:bottom w:val="none" w:sz="0" w:space="0" w:color="auto"/>
        <w:right w:val="none" w:sz="0" w:space="0" w:color="auto"/>
      </w:divBdr>
    </w:div>
    <w:div w:id="1626420723">
      <w:bodyDiv w:val="1"/>
      <w:marLeft w:val="0"/>
      <w:marRight w:val="0"/>
      <w:marTop w:val="0"/>
      <w:marBottom w:val="0"/>
      <w:divBdr>
        <w:top w:val="none" w:sz="0" w:space="0" w:color="auto"/>
        <w:left w:val="none" w:sz="0" w:space="0" w:color="auto"/>
        <w:bottom w:val="none" w:sz="0" w:space="0" w:color="auto"/>
        <w:right w:val="none" w:sz="0" w:space="0" w:color="auto"/>
      </w:divBdr>
      <w:divsChild>
        <w:div w:id="1926379289">
          <w:marLeft w:val="0"/>
          <w:marRight w:val="0"/>
          <w:marTop w:val="0"/>
          <w:marBottom w:val="0"/>
          <w:divBdr>
            <w:top w:val="none" w:sz="0" w:space="0" w:color="auto"/>
            <w:left w:val="none" w:sz="0" w:space="0" w:color="auto"/>
            <w:bottom w:val="none" w:sz="0" w:space="0" w:color="auto"/>
            <w:right w:val="none" w:sz="0" w:space="0" w:color="auto"/>
          </w:divBdr>
        </w:div>
      </w:divsChild>
    </w:div>
    <w:div w:id="1634284812">
      <w:bodyDiv w:val="1"/>
      <w:marLeft w:val="0"/>
      <w:marRight w:val="0"/>
      <w:marTop w:val="0"/>
      <w:marBottom w:val="0"/>
      <w:divBdr>
        <w:top w:val="none" w:sz="0" w:space="0" w:color="auto"/>
        <w:left w:val="none" w:sz="0" w:space="0" w:color="auto"/>
        <w:bottom w:val="none" w:sz="0" w:space="0" w:color="auto"/>
        <w:right w:val="none" w:sz="0" w:space="0" w:color="auto"/>
      </w:divBdr>
    </w:div>
    <w:div w:id="1902132624">
      <w:bodyDiv w:val="1"/>
      <w:marLeft w:val="0"/>
      <w:marRight w:val="0"/>
      <w:marTop w:val="0"/>
      <w:marBottom w:val="0"/>
      <w:divBdr>
        <w:top w:val="none" w:sz="0" w:space="0" w:color="auto"/>
        <w:left w:val="none" w:sz="0" w:space="0" w:color="auto"/>
        <w:bottom w:val="none" w:sz="0" w:space="0" w:color="auto"/>
        <w:right w:val="none" w:sz="0" w:space="0" w:color="auto"/>
      </w:divBdr>
    </w:div>
    <w:div w:id="1932010654">
      <w:bodyDiv w:val="1"/>
      <w:marLeft w:val="0"/>
      <w:marRight w:val="0"/>
      <w:marTop w:val="0"/>
      <w:marBottom w:val="0"/>
      <w:divBdr>
        <w:top w:val="none" w:sz="0" w:space="0" w:color="auto"/>
        <w:left w:val="none" w:sz="0" w:space="0" w:color="auto"/>
        <w:bottom w:val="none" w:sz="0" w:space="0" w:color="auto"/>
        <w:right w:val="none" w:sz="0" w:space="0" w:color="auto"/>
      </w:divBdr>
    </w:div>
    <w:div w:id="1949660376">
      <w:bodyDiv w:val="1"/>
      <w:marLeft w:val="0"/>
      <w:marRight w:val="0"/>
      <w:marTop w:val="0"/>
      <w:marBottom w:val="0"/>
      <w:divBdr>
        <w:top w:val="none" w:sz="0" w:space="0" w:color="auto"/>
        <w:left w:val="none" w:sz="0" w:space="0" w:color="auto"/>
        <w:bottom w:val="none" w:sz="0" w:space="0" w:color="auto"/>
        <w:right w:val="none" w:sz="0" w:space="0" w:color="auto"/>
      </w:divBdr>
    </w:div>
    <w:div w:id="200323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Libro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CO"/>
        </a:p>
      </c:txPr>
    </c:title>
    <c:autoTitleDeleted val="0"/>
    <c:plotArea>
      <c:layout/>
      <c:barChart>
        <c:barDir val="col"/>
        <c:grouping val="clustered"/>
        <c:varyColors val="0"/>
        <c:ser>
          <c:idx val="0"/>
          <c:order val="0"/>
          <c:tx>
            <c:strRef>
              <c:f>Hoja2!$A$18</c:f>
              <c:strCache>
                <c:ptCount val="1"/>
                <c:pt idx="0">
                  <c:v>casos</c:v>
                </c:pt>
              </c:strCache>
            </c:strRef>
          </c:tx>
          <c:spPr>
            <a:solidFill>
              <a:schemeClr val="accent1">
                <a:lumMod val="20000"/>
                <a:lumOff val="80000"/>
              </a:schemeClr>
            </a:solidFill>
            <a:ln>
              <a:noFill/>
            </a:ln>
            <a:effectLst/>
          </c:spPr>
          <c:invertIfNegative val="0"/>
          <c:trendline>
            <c:spPr>
              <a:ln w="19050" cap="rnd">
                <a:solidFill>
                  <a:schemeClr val="accent1"/>
                </a:solidFill>
                <a:prstDash val="sysDot"/>
              </a:ln>
              <a:effectLst/>
            </c:spPr>
            <c:trendlineType val="linear"/>
            <c:dispRSqr val="0"/>
            <c:dispEq val="0"/>
          </c:trendline>
          <c:trendline>
            <c:spPr>
              <a:ln w="19050" cap="rnd">
                <a:solidFill>
                  <a:schemeClr val="accent1"/>
                </a:solidFill>
                <a:prstDash val="sysDot"/>
              </a:ln>
              <a:effectLst/>
            </c:spPr>
            <c:trendlineType val="linear"/>
            <c:dispRSqr val="0"/>
            <c:dispEq val="0"/>
          </c:trendline>
          <c:cat>
            <c:numRef>
              <c:f>Hoja2!$B$17:$F$17</c:f>
              <c:numCache>
                <c:formatCode>General</c:formatCode>
                <c:ptCount val="5"/>
                <c:pt idx="0">
                  <c:v>2020</c:v>
                </c:pt>
                <c:pt idx="1">
                  <c:v>2021</c:v>
                </c:pt>
                <c:pt idx="2">
                  <c:v>2022</c:v>
                </c:pt>
                <c:pt idx="3">
                  <c:v>2023</c:v>
                </c:pt>
                <c:pt idx="4">
                  <c:v>2024</c:v>
                </c:pt>
              </c:numCache>
            </c:numRef>
          </c:cat>
          <c:val>
            <c:numRef>
              <c:f>Hoja2!$B$18:$F$18</c:f>
              <c:numCache>
                <c:formatCode>General</c:formatCode>
                <c:ptCount val="5"/>
                <c:pt idx="0">
                  <c:v>1542</c:v>
                </c:pt>
                <c:pt idx="1">
                  <c:v>1853</c:v>
                </c:pt>
                <c:pt idx="2">
                  <c:v>1682</c:v>
                </c:pt>
                <c:pt idx="3">
                  <c:v>1615</c:v>
                </c:pt>
                <c:pt idx="4">
                  <c:v>1443</c:v>
                </c:pt>
              </c:numCache>
            </c:numRef>
          </c:val>
          <c:extLst>
            <c:ext xmlns:c16="http://schemas.microsoft.com/office/drawing/2014/chart" uri="{C3380CC4-5D6E-409C-BE32-E72D297353CC}">
              <c16:uniqueId val="{00000002-9711-4EF6-9574-2BA18CBD11AB}"/>
            </c:ext>
          </c:extLst>
        </c:ser>
        <c:dLbls>
          <c:showLegendKey val="0"/>
          <c:showVal val="0"/>
          <c:showCatName val="0"/>
          <c:showSerName val="0"/>
          <c:showPercent val="0"/>
          <c:showBubbleSize val="0"/>
        </c:dLbls>
        <c:gapWidth val="5"/>
        <c:overlap val="-27"/>
        <c:axId val="1640915200"/>
        <c:axId val="1640915616"/>
      </c:barChart>
      <c:catAx>
        <c:axId val="16409152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CO"/>
          </a:p>
        </c:txPr>
        <c:crossAx val="1640915616"/>
        <c:crosses val="autoZero"/>
        <c:auto val="1"/>
        <c:lblAlgn val="ctr"/>
        <c:lblOffset val="100"/>
        <c:noMultiLvlLbl val="0"/>
      </c:catAx>
      <c:valAx>
        <c:axId val="16409156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CO"/>
          </a:p>
        </c:txPr>
        <c:crossAx val="1640915200"/>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sz="1000">
          <a:latin typeface="Arial" panose="020B0604020202020204" pitchFamily="34" charset="0"/>
          <a:cs typeface="Arial" panose="020B0604020202020204" pitchFamily="34" charset="0"/>
        </a:defRPr>
      </a:pPr>
      <a:endParaRPr lang="es-CO"/>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107</TotalTime>
  <Pages>9</Pages>
  <Words>2860</Words>
  <Characters>15734</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Garzon Gonzalez, Jose Aldemar</dc:creator>
  <cp:lastModifiedBy>Subgerencia Servicios - Angelica Bello</cp:lastModifiedBy>
  <cp:revision>92</cp:revision>
  <cp:lastPrinted>2022-10-19T14:32:00Z</cp:lastPrinted>
  <dcterms:created xsi:type="dcterms:W3CDTF">2025-04-29T20:21:00Z</dcterms:created>
  <dcterms:modified xsi:type="dcterms:W3CDTF">2025-05-02T14:31:00Z</dcterms:modified>
</cp:coreProperties>
</file>